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506" w:type="dxa"/>
        <w:tblInd w:w="-34" w:type="dxa"/>
        <w:tblLayout w:type="fixed"/>
        <w:tblLook w:val="04A0" w:firstRow="1" w:lastRow="0" w:firstColumn="1" w:lastColumn="0" w:noHBand="0" w:noVBand="1"/>
      </w:tblPr>
      <w:tblGrid>
        <w:gridCol w:w="2552"/>
        <w:gridCol w:w="5954"/>
      </w:tblGrid>
      <w:tr w:rsidR="00D01483" w14:paraId="2F0A632B" w14:textId="77777777">
        <w:tc>
          <w:tcPr>
            <w:tcW w:w="2552" w:type="dxa"/>
          </w:tcPr>
          <w:p w14:paraId="762DB66F" w14:textId="77777777" w:rsidR="00D01483" w:rsidRDefault="00DB751C">
            <w:pPr>
              <w:adjustRightInd w:val="0"/>
              <w:snapToGrid w:val="0"/>
              <w:spacing w:line="480" w:lineRule="exact"/>
              <w:jc w:val="left"/>
              <w:rPr>
                <w:rFonts w:eastAsia="仿宋_GB2312"/>
                <w:b/>
                <w:color w:val="000000"/>
                <w:kern w:val="0"/>
                <w:sz w:val="32"/>
                <w:szCs w:val="32"/>
              </w:rPr>
            </w:pPr>
            <w:r>
              <w:rPr>
                <w:rFonts w:eastAsia="仿宋_GB2312"/>
                <w:b/>
                <w:color w:val="000000"/>
                <w:spacing w:val="108"/>
                <w:kern w:val="0"/>
                <w:sz w:val="32"/>
                <w:szCs w:val="32"/>
                <w:fitText w:val="1929" w:id="1496780334"/>
              </w:rPr>
              <w:t>委托名</w:t>
            </w:r>
            <w:r>
              <w:rPr>
                <w:rFonts w:eastAsia="仿宋_GB2312"/>
                <w:b/>
                <w:color w:val="000000"/>
                <w:kern w:val="0"/>
                <w:sz w:val="32"/>
                <w:szCs w:val="32"/>
                <w:fitText w:val="1929" w:id="1496780334"/>
              </w:rPr>
              <w:t>称</w:t>
            </w:r>
            <w:r>
              <w:rPr>
                <w:rFonts w:eastAsia="仿宋_GB2312"/>
                <w:b/>
                <w:color w:val="000000"/>
                <w:kern w:val="0"/>
                <w:sz w:val="32"/>
                <w:szCs w:val="32"/>
              </w:rPr>
              <w:t>：</w:t>
            </w:r>
          </w:p>
        </w:tc>
        <w:tc>
          <w:tcPr>
            <w:tcW w:w="5954" w:type="dxa"/>
          </w:tcPr>
          <w:p w14:paraId="52BCC625" w14:textId="77777777" w:rsidR="00D01483" w:rsidRDefault="00DB751C">
            <w:pPr>
              <w:adjustRightInd w:val="0"/>
              <w:snapToGrid w:val="0"/>
              <w:spacing w:line="480" w:lineRule="exact"/>
              <w:jc w:val="left"/>
              <w:rPr>
                <w:rFonts w:ascii="仿宋_GB2312" w:eastAsia="仿宋_GB2312" w:hAnsi="仿宋_GB2312" w:hint="eastAsia"/>
                <w:color w:val="000000"/>
                <w:kern w:val="0"/>
                <w:sz w:val="32"/>
                <w:szCs w:val="32"/>
                <w:highlight w:val="yellow"/>
              </w:rPr>
            </w:pPr>
            <w:r>
              <w:rPr>
                <w:rFonts w:ascii="仿宋_GB2312" w:eastAsia="仿宋_GB2312" w:hAnsi="仿宋_GB2312" w:hint="eastAsia"/>
                <w:color w:val="000000"/>
                <w:kern w:val="0"/>
                <w:sz w:val="32"/>
                <w:szCs w:val="32"/>
              </w:rPr>
              <w:t>甘肃北山岩浆型铜镍矿成矿规律与选区研究</w:t>
            </w:r>
          </w:p>
        </w:tc>
      </w:tr>
      <w:tr w:rsidR="00D01483" w14:paraId="11FB86FF" w14:textId="77777777">
        <w:tc>
          <w:tcPr>
            <w:tcW w:w="2552" w:type="dxa"/>
          </w:tcPr>
          <w:p w14:paraId="3C8B2769" w14:textId="77777777" w:rsidR="00D01483" w:rsidRDefault="00DB751C">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fitText w:val="1926" w:id="-723695360"/>
              </w:rPr>
              <w:t>工作起止年限</w:t>
            </w:r>
            <w:r>
              <w:rPr>
                <w:rFonts w:eastAsia="仿宋_GB2312"/>
                <w:b/>
                <w:color w:val="000000"/>
                <w:kern w:val="0"/>
                <w:sz w:val="32"/>
                <w:szCs w:val="32"/>
              </w:rPr>
              <w:t>：</w:t>
            </w:r>
          </w:p>
        </w:tc>
        <w:tc>
          <w:tcPr>
            <w:tcW w:w="5954" w:type="dxa"/>
          </w:tcPr>
          <w:p w14:paraId="4173C93A" w14:textId="77777777" w:rsidR="00D01483" w:rsidRDefault="00DB751C">
            <w:pPr>
              <w:adjustRightInd w:val="0"/>
              <w:snapToGrid w:val="0"/>
              <w:spacing w:line="480" w:lineRule="exact"/>
              <w:jc w:val="left"/>
              <w:rPr>
                <w:rFonts w:ascii="仿宋_GB2312" w:eastAsia="仿宋_GB2312" w:hAnsi="仿宋_GB2312" w:hint="eastAsia"/>
                <w:b/>
                <w:color w:val="000000"/>
                <w:kern w:val="0"/>
                <w:sz w:val="32"/>
                <w:szCs w:val="32"/>
                <w:highlight w:val="yellow"/>
              </w:rPr>
            </w:pPr>
            <w:r>
              <w:rPr>
                <w:rFonts w:ascii="仿宋_GB2312" w:eastAsia="仿宋_GB2312" w:hAnsi="仿宋_GB2312"/>
                <w:color w:val="000000"/>
                <w:kern w:val="0"/>
                <w:sz w:val="32"/>
                <w:szCs w:val="32"/>
              </w:rPr>
              <w:t>2025</w:t>
            </w:r>
            <w:r>
              <w:rPr>
                <w:rFonts w:ascii="仿宋_GB2312" w:eastAsia="仿宋_GB2312" w:hAnsi="仿宋_GB2312"/>
                <w:color w:val="000000"/>
                <w:kern w:val="0"/>
                <w:sz w:val="32"/>
                <w:szCs w:val="32"/>
              </w:rPr>
              <w:t>年</w:t>
            </w:r>
          </w:p>
        </w:tc>
      </w:tr>
      <w:tr w:rsidR="00D01483" w14:paraId="3916CB2C" w14:textId="77777777">
        <w:tc>
          <w:tcPr>
            <w:tcW w:w="2552" w:type="dxa"/>
          </w:tcPr>
          <w:p w14:paraId="79769EB4" w14:textId="77777777" w:rsidR="00D01483" w:rsidRDefault="00DB751C">
            <w:pPr>
              <w:adjustRightInd w:val="0"/>
              <w:snapToGrid w:val="0"/>
              <w:spacing w:line="480" w:lineRule="exact"/>
              <w:jc w:val="left"/>
              <w:rPr>
                <w:rFonts w:eastAsia="仿宋_GB2312"/>
                <w:b/>
                <w:color w:val="000000"/>
                <w:kern w:val="0"/>
                <w:sz w:val="32"/>
                <w:szCs w:val="32"/>
              </w:rPr>
            </w:pPr>
            <w:r>
              <w:rPr>
                <w:rFonts w:eastAsia="仿宋_GB2312"/>
                <w:b/>
                <w:color w:val="000000"/>
                <w:kern w:val="0"/>
                <w:sz w:val="32"/>
                <w:szCs w:val="32"/>
                <w:fitText w:val="1926" w:id="-723695359"/>
              </w:rPr>
              <w:t>所属</w:t>
            </w:r>
            <w:r>
              <w:rPr>
                <w:rFonts w:eastAsia="仿宋_GB2312" w:hint="eastAsia"/>
                <w:b/>
                <w:color w:val="000000"/>
                <w:kern w:val="0"/>
                <w:sz w:val="32"/>
                <w:szCs w:val="32"/>
                <w:fitText w:val="1926" w:id="-723695359"/>
              </w:rPr>
              <w:t>三级</w:t>
            </w:r>
            <w:r>
              <w:rPr>
                <w:rFonts w:eastAsia="仿宋_GB2312"/>
                <w:b/>
                <w:color w:val="000000"/>
                <w:kern w:val="0"/>
                <w:sz w:val="32"/>
                <w:szCs w:val="32"/>
                <w:fitText w:val="1926" w:id="-723695359"/>
              </w:rPr>
              <w:t>项目</w:t>
            </w:r>
            <w:r>
              <w:rPr>
                <w:rFonts w:eastAsia="仿宋_GB2312"/>
                <w:b/>
                <w:color w:val="000000"/>
                <w:kern w:val="0"/>
                <w:sz w:val="32"/>
                <w:szCs w:val="32"/>
              </w:rPr>
              <w:t>：</w:t>
            </w:r>
          </w:p>
        </w:tc>
        <w:tc>
          <w:tcPr>
            <w:tcW w:w="5954" w:type="dxa"/>
          </w:tcPr>
          <w:p w14:paraId="56B356D3" w14:textId="77777777" w:rsidR="00D01483" w:rsidRDefault="00DB751C">
            <w:pPr>
              <w:adjustRightInd w:val="0"/>
              <w:snapToGrid w:val="0"/>
              <w:spacing w:line="480" w:lineRule="exact"/>
              <w:jc w:val="left"/>
              <w:rPr>
                <w:rFonts w:ascii="仿宋_GB2312" w:eastAsia="仿宋_GB2312" w:hAnsi="仿宋_GB2312" w:hint="eastAsia"/>
                <w:b/>
                <w:color w:val="000000"/>
                <w:kern w:val="0"/>
                <w:sz w:val="32"/>
                <w:szCs w:val="32"/>
                <w:highlight w:val="yellow"/>
              </w:rPr>
            </w:pPr>
            <w:bookmarkStart w:id="0" w:name="OLE_LINK99"/>
            <w:bookmarkStart w:id="1" w:name="OLE_LINK98"/>
            <w:bookmarkStart w:id="2" w:name="OLE_LINK100"/>
            <w:r>
              <w:rPr>
                <w:rFonts w:ascii="仿宋_GB2312" w:eastAsia="仿宋_GB2312" w:hAnsi="仿宋_GB2312"/>
                <w:color w:val="000000"/>
                <w:kern w:val="0"/>
                <w:sz w:val="32"/>
                <w:szCs w:val="32"/>
              </w:rPr>
              <w:t>东天山</w:t>
            </w:r>
            <w:r>
              <w:rPr>
                <w:rFonts w:ascii="仿宋_GB2312" w:eastAsia="仿宋_GB2312" w:hAnsi="仿宋_GB2312"/>
                <w:color w:val="000000"/>
                <w:kern w:val="0"/>
                <w:sz w:val="32"/>
                <w:szCs w:val="32"/>
              </w:rPr>
              <w:t>-</w:t>
            </w:r>
            <w:r>
              <w:rPr>
                <w:rFonts w:ascii="仿宋_GB2312" w:eastAsia="仿宋_GB2312" w:hAnsi="仿宋_GB2312"/>
                <w:color w:val="000000"/>
                <w:kern w:val="0"/>
                <w:sz w:val="32"/>
                <w:szCs w:val="32"/>
              </w:rPr>
              <w:t>北山镜儿泉一带铜镍矿区块优选调查评价</w:t>
            </w:r>
            <w:bookmarkEnd w:id="0"/>
            <w:bookmarkEnd w:id="1"/>
            <w:bookmarkEnd w:id="2"/>
          </w:p>
        </w:tc>
      </w:tr>
      <w:tr w:rsidR="00D01483" w14:paraId="785D3071" w14:textId="77777777">
        <w:tc>
          <w:tcPr>
            <w:tcW w:w="2552" w:type="dxa"/>
          </w:tcPr>
          <w:p w14:paraId="5F7A80E8" w14:textId="77777777" w:rsidR="00D01483" w:rsidRDefault="00DB751C">
            <w:pPr>
              <w:adjustRightInd w:val="0"/>
              <w:snapToGrid w:val="0"/>
              <w:spacing w:line="480" w:lineRule="exact"/>
              <w:jc w:val="left"/>
              <w:rPr>
                <w:rFonts w:eastAsia="仿宋_GB2312"/>
                <w:b/>
                <w:color w:val="000000"/>
                <w:kern w:val="0"/>
                <w:sz w:val="32"/>
                <w:szCs w:val="32"/>
              </w:rPr>
            </w:pPr>
            <w:r>
              <w:rPr>
                <w:rFonts w:eastAsia="仿宋_GB2312" w:hint="eastAsia"/>
                <w:b/>
                <w:color w:val="000000"/>
                <w:spacing w:val="643"/>
                <w:kern w:val="0"/>
                <w:sz w:val="32"/>
                <w:szCs w:val="32"/>
                <w:fitText w:val="1926" w:id="-723293184"/>
              </w:rPr>
              <w:t>类</w:t>
            </w:r>
            <w:r>
              <w:rPr>
                <w:rFonts w:eastAsia="仿宋_GB2312" w:hint="eastAsia"/>
                <w:b/>
                <w:color w:val="000000"/>
                <w:kern w:val="0"/>
                <w:sz w:val="32"/>
                <w:szCs w:val="32"/>
                <w:fitText w:val="1926" w:id="-723293184"/>
              </w:rPr>
              <w:t>型</w:t>
            </w:r>
            <w:r>
              <w:rPr>
                <w:rFonts w:eastAsia="仿宋_GB2312"/>
                <w:b/>
                <w:color w:val="000000"/>
                <w:kern w:val="0"/>
                <w:sz w:val="32"/>
                <w:szCs w:val="32"/>
              </w:rPr>
              <w:t>：</w:t>
            </w:r>
          </w:p>
        </w:tc>
        <w:tc>
          <w:tcPr>
            <w:tcW w:w="5954" w:type="dxa"/>
          </w:tcPr>
          <w:p w14:paraId="79B037E4" w14:textId="77777777" w:rsidR="00D01483" w:rsidRDefault="00DB751C">
            <w:pPr>
              <w:adjustRightInd w:val="0"/>
              <w:snapToGrid w:val="0"/>
              <w:spacing w:line="480" w:lineRule="exact"/>
              <w:jc w:val="left"/>
              <w:rPr>
                <w:rFonts w:ascii="仿宋_GB2312" w:eastAsia="仿宋_GB2312" w:hAnsi="仿宋_GB2312" w:hint="eastAsia"/>
                <w:color w:val="000000"/>
                <w:kern w:val="0"/>
                <w:sz w:val="32"/>
                <w:szCs w:val="32"/>
                <w:highlight w:val="yellow"/>
              </w:rPr>
            </w:pPr>
            <w:r>
              <w:rPr>
                <w:rFonts w:ascii="仿宋_GB2312" w:eastAsia="仿宋_GB2312" w:hAnsi="仿宋_GB2312" w:hint="eastAsia"/>
                <w:color w:val="000000"/>
                <w:kern w:val="0"/>
                <w:sz w:val="32"/>
                <w:szCs w:val="32"/>
              </w:rPr>
              <w:t>评审</w:t>
            </w:r>
            <w:r>
              <w:rPr>
                <w:rFonts w:ascii="仿宋_GB2312" w:eastAsia="仿宋_GB2312" w:hAnsi="仿宋_GB2312" w:hint="eastAsia"/>
                <w:color w:val="000000"/>
                <w:kern w:val="0"/>
                <w:sz w:val="32"/>
                <w:szCs w:val="32"/>
              </w:rPr>
              <w:t>委托</w:t>
            </w:r>
          </w:p>
        </w:tc>
      </w:tr>
      <w:tr w:rsidR="00D01483" w14:paraId="1251B407" w14:textId="77777777">
        <w:tc>
          <w:tcPr>
            <w:tcW w:w="2552" w:type="dxa"/>
          </w:tcPr>
          <w:p w14:paraId="3A7D2DC1" w14:textId="77777777" w:rsidR="00D01483" w:rsidRDefault="00DB751C">
            <w:pPr>
              <w:adjustRightInd w:val="0"/>
              <w:snapToGrid w:val="0"/>
              <w:spacing w:line="480" w:lineRule="exact"/>
              <w:jc w:val="left"/>
              <w:rPr>
                <w:rFonts w:eastAsia="仿宋_GB2312"/>
                <w:b/>
                <w:color w:val="000000"/>
                <w:kern w:val="0"/>
                <w:sz w:val="32"/>
                <w:szCs w:val="32"/>
              </w:rPr>
            </w:pPr>
            <w:r>
              <w:rPr>
                <w:rFonts w:eastAsia="仿宋_GB2312" w:hint="eastAsia"/>
                <w:b/>
                <w:color w:val="000000"/>
                <w:spacing w:val="107"/>
                <w:kern w:val="0"/>
                <w:sz w:val="32"/>
                <w:szCs w:val="32"/>
                <w:fitText w:val="1926" w:id="-723695357"/>
              </w:rPr>
              <w:t>外协单</w:t>
            </w:r>
            <w:r>
              <w:rPr>
                <w:rFonts w:eastAsia="仿宋_GB2312" w:hint="eastAsia"/>
                <w:b/>
                <w:color w:val="000000"/>
                <w:spacing w:val="2"/>
                <w:kern w:val="0"/>
                <w:sz w:val="32"/>
                <w:szCs w:val="32"/>
                <w:fitText w:val="1926" w:id="-723695357"/>
              </w:rPr>
              <w:t>位</w:t>
            </w:r>
            <w:r>
              <w:rPr>
                <w:rFonts w:eastAsia="仿宋_GB2312"/>
                <w:b/>
                <w:color w:val="000000"/>
                <w:kern w:val="0"/>
                <w:sz w:val="32"/>
                <w:szCs w:val="32"/>
              </w:rPr>
              <w:t>：</w:t>
            </w:r>
          </w:p>
        </w:tc>
        <w:tc>
          <w:tcPr>
            <w:tcW w:w="5954" w:type="dxa"/>
          </w:tcPr>
          <w:p w14:paraId="6F5105A0" w14:textId="77777777" w:rsidR="00D01483" w:rsidRDefault="00D01483">
            <w:pPr>
              <w:adjustRightInd w:val="0"/>
              <w:snapToGrid w:val="0"/>
              <w:spacing w:line="480" w:lineRule="exact"/>
              <w:jc w:val="left"/>
              <w:rPr>
                <w:rFonts w:ascii="仿宋_GB2312" w:eastAsia="仿宋_GB2312" w:hAnsi="仿宋_GB2312" w:hint="eastAsia"/>
                <w:b/>
                <w:color w:val="000000"/>
                <w:kern w:val="0"/>
                <w:sz w:val="32"/>
                <w:szCs w:val="32"/>
                <w:highlight w:val="yellow"/>
              </w:rPr>
            </w:pPr>
          </w:p>
        </w:tc>
      </w:tr>
    </w:tbl>
    <w:p w14:paraId="33F74F1A" w14:textId="77777777" w:rsidR="00D01483" w:rsidRDefault="00D01483">
      <w:pPr>
        <w:adjustRightInd w:val="0"/>
        <w:snapToGrid w:val="0"/>
        <w:spacing w:line="500" w:lineRule="exact"/>
        <w:jc w:val="left"/>
        <w:rPr>
          <w:rFonts w:eastAsia="仿宋_GB2312"/>
          <w:b/>
          <w:color w:val="000000"/>
          <w:kern w:val="0"/>
          <w:sz w:val="32"/>
          <w:szCs w:val="32"/>
        </w:rPr>
      </w:pPr>
    </w:p>
    <w:p w14:paraId="09A6047E" w14:textId="77777777" w:rsidR="00D01483" w:rsidRDefault="00DB751C">
      <w:pPr>
        <w:adjustRightInd w:val="0"/>
        <w:snapToGrid w:val="0"/>
        <w:spacing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w:t>
      </w:r>
      <w:r>
        <w:rPr>
          <w:rFonts w:ascii="仿宋_GB2312" w:eastAsia="仿宋_GB2312" w:hAnsi="仿宋_GB2312" w:hint="eastAsia"/>
          <w:b/>
          <w:color w:val="000000"/>
          <w:kern w:val="0"/>
          <w:sz w:val="32"/>
          <w:szCs w:val="32"/>
        </w:rPr>
        <w:t>年度</w:t>
      </w:r>
      <w:r>
        <w:rPr>
          <w:rFonts w:ascii="仿宋_GB2312" w:eastAsia="仿宋_GB2312" w:hAnsi="仿宋_GB2312"/>
          <w:b/>
          <w:color w:val="000000"/>
          <w:kern w:val="0"/>
          <w:sz w:val="32"/>
          <w:szCs w:val="32"/>
        </w:rPr>
        <w:t>目标任务：</w:t>
      </w:r>
    </w:p>
    <w:p w14:paraId="477485E0" w14:textId="77777777" w:rsidR="00D01483" w:rsidRDefault="00DB751C">
      <w:pPr>
        <w:adjustRightInd w:val="0"/>
        <w:snapToGrid w:val="0"/>
        <w:spacing w:line="480" w:lineRule="exact"/>
        <w:ind w:firstLineChars="200" w:firstLine="640"/>
        <w:jc w:val="left"/>
        <w:rPr>
          <w:rFonts w:eastAsia="仿宋_GB2312"/>
          <w:color w:val="000000"/>
          <w:kern w:val="0"/>
          <w:sz w:val="32"/>
          <w:szCs w:val="32"/>
        </w:rPr>
      </w:pPr>
      <w:bookmarkStart w:id="3" w:name="OLE_LINK107"/>
      <w:bookmarkStart w:id="4" w:name="OLE_LINK106"/>
      <w:r>
        <w:rPr>
          <w:rFonts w:eastAsia="仿宋_GB2312"/>
          <w:color w:val="000000"/>
          <w:kern w:val="0"/>
          <w:sz w:val="32"/>
          <w:szCs w:val="32"/>
        </w:rPr>
        <w:t>以铜镍为主攻矿种，以岩浆铜镍</w:t>
      </w:r>
      <w:r>
        <w:rPr>
          <w:rFonts w:eastAsia="仿宋_GB2312" w:hint="eastAsia"/>
          <w:color w:val="000000"/>
          <w:kern w:val="0"/>
          <w:sz w:val="32"/>
          <w:szCs w:val="32"/>
        </w:rPr>
        <w:t>硫化物</w:t>
      </w:r>
      <w:r>
        <w:rPr>
          <w:rFonts w:eastAsia="仿宋_GB2312" w:hint="eastAsia"/>
          <w:color w:val="000000"/>
          <w:kern w:val="0"/>
          <w:sz w:val="32"/>
          <w:szCs w:val="32"/>
        </w:rPr>
        <w:t>矿床</w:t>
      </w:r>
      <w:r>
        <w:rPr>
          <w:rFonts w:eastAsia="仿宋_GB2312"/>
          <w:color w:val="000000"/>
          <w:kern w:val="0"/>
          <w:sz w:val="32"/>
          <w:szCs w:val="32"/>
        </w:rPr>
        <w:t>为主攻矿床类型，</w:t>
      </w:r>
      <w:r>
        <w:rPr>
          <w:rFonts w:eastAsia="仿宋_GB2312" w:hint="eastAsia"/>
          <w:color w:val="000000"/>
          <w:kern w:val="0"/>
          <w:sz w:val="32"/>
          <w:szCs w:val="32"/>
        </w:rPr>
        <w:t>选择甘肃北山</w:t>
      </w:r>
      <w:r>
        <w:rPr>
          <w:rFonts w:eastAsia="仿宋_GB2312" w:hint="eastAsia"/>
          <w:color w:val="000000"/>
          <w:kern w:val="0"/>
          <w:sz w:val="32"/>
          <w:szCs w:val="32"/>
        </w:rPr>
        <w:t>地区</w:t>
      </w:r>
      <w:r>
        <w:rPr>
          <w:rFonts w:eastAsia="仿宋_GB2312" w:hint="eastAsia"/>
          <w:color w:val="000000"/>
          <w:kern w:val="0"/>
          <w:sz w:val="32"/>
          <w:szCs w:val="32"/>
        </w:rPr>
        <w:t>典型矿床进行解剖，总结区域岩浆铜镍硫化物矿床</w:t>
      </w:r>
      <w:r>
        <w:rPr>
          <w:rFonts w:eastAsia="仿宋_GB2312"/>
          <w:color w:val="000000"/>
          <w:kern w:val="0"/>
          <w:sz w:val="32"/>
          <w:szCs w:val="32"/>
        </w:rPr>
        <w:t>成矿地质特征</w:t>
      </w:r>
      <w:r>
        <w:rPr>
          <w:rFonts w:eastAsia="仿宋_GB2312" w:hint="eastAsia"/>
          <w:color w:val="000000"/>
          <w:kern w:val="0"/>
          <w:sz w:val="32"/>
          <w:szCs w:val="32"/>
        </w:rPr>
        <w:t>、成矿条件、</w:t>
      </w:r>
      <w:r>
        <w:rPr>
          <w:rFonts w:eastAsia="仿宋_GB2312"/>
          <w:color w:val="000000"/>
          <w:kern w:val="0"/>
          <w:sz w:val="32"/>
          <w:szCs w:val="32"/>
        </w:rPr>
        <w:t>控矿因素</w:t>
      </w:r>
      <w:r>
        <w:rPr>
          <w:rFonts w:eastAsia="仿宋_GB2312" w:hint="eastAsia"/>
          <w:color w:val="000000"/>
          <w:kern w:val="0"/>
          <w:sz w:val="32"/>
          <w:szCs w:val="32"/>
        </w:rPr>
        <w:t>及</w:t>
      </w:r>
      <w:r>
        <w:rPr>
          <w:rFonts w:eastAsia="仿宋_GB2312"/>
          <w:color w:val="000000"/>
          <w:kern w:val="0"/>
          <w:sz w:val="32"/>
          <w:szCs w:val="32"/>
        </w:rPr>
        <w:t>成矿规律，与新疆东天山</w:t>
      </w:r>
      <w:r>
        <w:rPr>
          <w:rFonts w:eastAsia="仿宋_GB2312"/>
          <w:color w:val="000000"/>
          <w:kern w:val="0"/>
          <w:sz w:val="32"/>
          <w:szCs w:val="32"/>
        </w:rPr>
        <w:t>-</w:t>
      </w:r>
      <w:r>
        <w:rPr>
          <w:rFonts w:eastAsia="仿宋_GB2312"/>
          <w:color w:val="000000"/>
          <w:kern w:val="0"/>
          <w:sz w:val="32"/>
          <w:szCs w:val="32"/>
        </w:rPr>
        <w:t>北山地区典型矿床进行对比</w:t>
      </w:r>
      <w:r>
        <w:rPr>
          <w:rFonts w:eastAsia="仿宋_GB2312" w:hint="eastAsia"/>
          <w:color w:val="000000"/>
          <w:kern w:val="0"/>
          <w:sz w:val="32"/>
          <w:szCs w:val="32"/>
        </w:rPr>
        <w:t>，</w:t>
      </w:r>
      <w:r>
        <w:rPr>
          <w:rFonts w:eastAsia="仿宋_GB2312"/>
          <w:color w:val="000000"/>
          <w:kern w:val="0"/>
          <w:sz w:val="32"/>
          <w:szCs w:val="32"/>
        </w:rPr>
        <w:t>开展甘肃北山地区岩浆铜镍硫化物矿床成矿地质背景及成矿潜力研究，</w:t>
      </w:r>
      <w:r>
        <w:rPr>
          <w:rFonts w:eastAsia="仿宋_GB2312" w:hint="eastAsia"/>
          <w:color w:val="000000"/>
          <w:kern w:val="0"/>
          <w:sz w:val="32"/>
          <w:szCs w:val="32"/>
        </w:rPr>
        <w:t>进一步建立甘肃北山地区</w:t>
      </w:r>
      <w:r>
        <w:rPr>
          <w:rFonts w:eastAsia="仿宋_GB2312"/>
          <w:color w:val="000000"/>
          <w:kern w:val="0"/>
          <w:sz w:val="32"/>
          <w:szCs w:val="32"/>
        </w:rPr>
        <w:t>岩浆铜镍</w:t>
      </w:r>
      <w:r>
        <w:rPr>
          <w:rFonts w:eastAsia="仿宋_GB2312" w:hint="eastAsia"/>
          <w:color w:val="000000"/>
          <w:kern w:val="0"/>
          <w:sz w:val="32"/>
          <w:szCs w:val="32"/>
        </w:rPr>
        <w:t>硫化物</w:t>
      </w:r>
      <w:r>
        <w:rPr>
          <w:rFonts w:eastAsia="仿宋_GB2312"/>
          <w:color w:val="000000"/>
          <w:kern w:val="0"/>
          <w:sz w:val="32"/>
          <w:szCs w:val="32"/>
        </w:rPr>
        <w:t>矿</w:t>
      </w:r>
      <w:r>
        <w:rPr>
          <w:rFonts w:eastAsia="仿宋_GB2312" w:hint="eastAsia"/>
          <w:color w:val="000000"/>
          <w:kern w:val="0"/>
          <w:sz w:val="32"/>
          <w:szCs w:val="32"/>
        </w:rPr>
        <w:t>床找矿</w:t>
      </w:r>
      <w:r>
        <w:rPr>
          <w:rFonts w:eastAsia="仿宋_GB2312"/>
          <w:color w:val="000000"/>
          <w:kern w:val="0"/>
          <w:sz w:val="32"/>
          <w:szCs w:val="32"/>
        </w:rPr>
        <w:t>勘查模型</w:t>
      </w:r>
      <w:r>
        <w:rPr>
          <w:rFonts w:eastAsia="仿宋_GB2312" w:hint="eastAsia"/>
          <w:color w:val="000000"/>
          <w:kern w:val="0"/>
          <w:sz w:val="32"/>
          <w:szCs w:val="32"/>
        </w:rPr>
        <w:t>；结合区域地、物、化、遥资料，开展甘肃北山地区岩浆铜镍硫化物矿床找矿选区研究工作，选择区域铜镍成矿有利地段，利用</w:t>
      </w:r>
      <w:r>
        <w:rPr>
          <w:rFonts w:eastAsia="仿宋_GB2312"/>
          <w:color w:val="000000"/>
          <w:kern w:val="0"/>
          <w:sz w:val="32"/>
          <w:szCs w:val="32"/>
        </w:rPr>
        <w:t>大比例尺地化剖面</w:t>
      </w:r>
      <w:r>
        <w:rPr>
          <w:rFonts w:eastAsia="仿宋_GB2312" w:hint="eastAsia"/>
          <w:color w:val="000000"/>
          <w:kern w:val="0"/>
          <w:sz w:val="32"/>
          <w:szCs w:val="32"/>
        </w:rPr>
        <w:t>、地质草测等工作手段，进行异常查证，查明岩体特征、矿化蚀变特征等，分析铜镍成矿潜力，</w:t>
      </w:r>
      <w:r>
        <w:rPr>
          <w:rFonts w:eastAsia="仿宋_GB2312"/>
          <w:color w:val="000000"/>
          <w:kern w:val="0"/>
          <w:sz w:val="32"/>
          <w:szCs w:val="32"/>
        </w:rPr>
        <w:t>优选找矿靶区，为后续工作部署提供依据</w:t>
      </w:r>
      <w:r>
        <w:rPr>
          <w:rFonts w:eastAsia="仿宋_GB2312" w:hint="eastAsia"/>
          <w:color w:val="000000"/>
          <w:kern w:val="0"/>
          <w:sz w:val="32"/>
          <w:szCs w:val="32"/>
        </w:rPr>
        <w:t>。</w:t>
      </w:r>
    </w:p>
    <w:bookmarkEnd w:id="3"/>
    <w:bookmarkEnd w:id="4"/>
    <w:p w14:paraId="470BC1A3" w14:textId="77777777" w:rsidR="00D01483" w:rsidRDefault="00DB751C">
      <w:pPr>
        <w:adjustRightInd w:val="0"/>
        <w:snapToGrid w:val="0"/>
        <w:spacing w:beforeLines="50" w:before="156"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w:t>
      </w:r>
      <w:r>
        <w:rPr>
          <w:rFonts w:ascii="仿宋_GB2312" w:eastAsia="仿宋_GB2312" w:hAnsi="仿宋_GB2312" w:hint="eastAsia"/>
          <w:b/>
          <w:color w:val="000000"/>
          <w:kern w:val="0"/>
          <w:sz w:val="32"/>
          <w:szCs w:val="32"/>
        </w:rPr>
        <w:t>年度</w:t>
      </w:r>
      <w:r>
        <w:rPr>
          <w:rFonts w:ascii="仿宋_GB2312" w:eastAsia="仿宋_GB2312" w:hAnsi="仿宋_GB2312"/>
          <w:b/>
          <w:color w:val="000000"/>
          <w:kern w:val="0"/>
          <w:sz w:val="32"/>
          <w:szCs w:val="32"/>
        </w:rPr>
        <w:t>主要实物工作量：</w:t>
      </w:r>
    </w:p>
    <w:p w14:paraId="59A36BA6" w14:textId="77777777" w:rsidR="00D01483" w:rsidRDefault="00DB751C">
      <w:pPr>
        <w:adjustRightInd w:val="0"/>
        <w:snapToGrid w:val="0"/>
        <w:spacing w:line="480" w:lineRule="exact"/>
        <w:ind w:firstLineChars="200" w:firstLine="640"/>
        <w:rPr>
          <w:rFonts w:eastAsia="仿宋_GB2312"/>
          <w:color w:val="000000"/>
          <w:kern w:val="0"/>
          <w:sz w:val="32"/>
          <w:szCs w:val="32"/>
        </w:rPr>
      </w:pPr>
      <w:bookmarkStart w:id="5" w:name="OLE_LINK38"/>
      <w:bookmarkStart w:id="6" w:name="OLE_LINK45"/>
      <w:bookmarkStart w:id="7" w:name="OLE_LINK35"/>
      <w:bookmarkStart w:id="8" w:name="OLE_LINK108"/>
      <w:r>
        <w:rPr>
          <w:rFonts w:ascii="仿宋_GB2312" w:eastAsia="仿宋_GB2312" w:hAnsi="仿宋_GB2312" w:hint="eastAsia"/>
          <w:color w:val="000000"/>
          <w:kern w:val="0"/>
          <w:sz w:val="32"/>
          <w:szCs w:val="32"/>
        </w:rPr>
        <w:t>1.</w:t>
      </w:r>
      <w:r>
        <w:rPr>
          <w:rFonts w:ascii="仿宋_GB2312" w:eastAsia="仿宋_GB2312" w:hAnsi="仿宋_GB2312"/>
          <w:color w:val="000000"/>
          <w:kern w:val="0"/>
          <w:sz w:val="32"/>
          <w:szCs w:val="32"/>
        </w:rPr>
        <w:t>1:1</w:t>
      </w:r>
      <w:r>
        <w:rPr>
          <w:rFonts w:eastAsia="仿宋_GB2312"/>
          <w:color w:val="000000"/>
          <w:kern w:val="0"/>
          <w:sz w:val="32"/>
          <w:szCs w:val="32"/>
        </w:rPr>
        <w:t>万地质草测</w:t>
      </w:r>
      <w:r>
        <w:rPr>
          <w:rFonts w:eastAsia="仿宋_GB2312" w:hint="eastAsia"/>
          <w:color w:val="000000"/>
          <w:kern w:val="0"/>
          <w:sz w:val="32"/>
          <w:szCs w:val="32"/>
        </w:rPr>
        <w:t>5</w:t>
      </w:r>
      <w:r>
        <w:rPr>
          <w:rFonts w:ascii="仿宋_GB2312" w:eastAsia="仿宋_GB2312" w:hAnsi="仿宋_GB2312" w:hint="eastAsia"/>
          <w:color w:val="000000"/>
          <w:kern w:val="0"/>
          <w:sz w:val="32"/>
          <w:szCs w:val="32"/>
        </w:rPr>
        <w:t>平方千米</w:t>
      </w:r>
      <w:r>
        <w:rPr>
          <w:rFonts w:eastAsia="仿宋_GB2312" w:hint="eastAsia"/>
          <w:color w:val="000000"/>
          <w:kern w:val="0"/>
          <w:sz w:val="32"/>
          <w:szCs w:val="32"/>
        </w:rPr>
        <w:t>；</w:t>
      </w:r>
    </w:p>
    <w:p w14:paraId="53AE3DD5" w14:textId="77777777" w:rsidR="00D01483" w:rsidRDefault="00DB751C">
      <w:pPr>
        <w:adjustRightInd w:val="0"/>
        <w:snapToGrid w:val="0"/>
        <w:spacing w:line="480" w:lineRule="exact"/>
        <w:ind w:firstLineChars="200" w:firstLine="640"/>
        <w:rPr>
          <w:rFonts w:ascii="仿宋_GB2312" w:eastAsia="仿宋_GB2312" w:hAnsi="仿宋_GB2312" w:hint="eastAsia"/>
          <w:color w:val="000000"/>
          <w:kern w:val="0"/>
          <w:sz w:val="32"/>
          <w:szCs w:val="32"/>
        </w:rPr>
      </w:pPr>
      <w:r>
        <w:rPr>
          <w:rFonts w:ascii="仿宋_GB2312" w:eastAsia="仿宋_GB2312" w:hAnsi="仿宋_GB2312" w:hint="eastAsia"/>
          <w:color w:val="000000"/>
          <w:kern w:val="0"/>
          <w:sz w:val="32"/>
          <w:szCs w:val="32"/>
        </w:rPr>
        <w:t>2.1:1</w:t>
      </w:r>
      <w:r>
        <w:rPr>
          <w:rFonts w:eastAsia="仿宋_GB2312"/>
          <w:color w:val="000000"/>
          <w:kern w:val="0"/>
          <w:sz w:val="32"/>
          <w:szCs w:val="32"/>
        </w:rPr>
        <w:t>万地化剖面</w:t>
      </w:r>
      <w:r>
        <w:rPr>
          <w:rFonts w:eastAsia="仿宋_GB2312" w:hint="eastAsia"/>
          <w:color w:val="000000"/>
          <w:kern w:val="0"/>
          <w:sz w:val="32"/>
          <w:szCs w:val="32"/>
        </w:rPr>
        <w:t>5</w:t>
      </w:r>
      <w:bookmarkEnd w:id="5"/>
      <w:bookmarkEnd w:id="6"/>
      <w:bookmarkEnd w:id="7"/>
      <w:r>
        <w:rPr>
          <w:rFonts w:ascii="仿宋_GB2312" w:eastAsia="仿宋_GB2312" w:hAnsi="仿宋_GB2312" w:hint="eastAsia"/>
          <w:color w:val="000000"/>
          <w:kern w:val="0"/>
          <w:sz w:val="32"/>
          <w:szCs w:val="32"/>
        </w:rPr>
        <w:t>千米</w:t>
      </w:r>
      <w:r>
        <w:rPr>
          <w:rFonts w:eastAsia="仿宋_GB2312"/>
          <w:color w:val="000000"/>
          <w:kern w:val="0"/>
          <w:sz w:val="32"/>
          <w:szCs w:val="32"/>
        </w:rPr>
        <w:t>。</w:t>
      </w:r>
      <w:bookmarkEnd w:id="8"/>
    </w:p>
    <w:p w14:paraId="739C2D1C" w14:textId="77777777" w:rsidR="00D01483" w:rsidRDefault="00DB751C">
      <w:pPr>
        <w:adjustRightInd w:val="0"/>
        <w:snapToGrid w:val="0"/>
        <w:spacing w:beforeLines="50" w:before="156" w:line="480" w:lineRule="exact"/>
        <w:jc w:val="left"/>
        <w:rPr>
          <w:rFonts w:ascii="仿宋_GB2312" w:eastAsia="仿宋_GB2312" w:hAnsi="仿宋_GB2312" w:hint="eastAsia"/>
          <w:b/>
          <w:color w:val="000000"/>
          <w:kern w:val="0"/>
          <w:sz w:val="32"/>
          <w:szCs w:val="32"/>
        </w:rPr>
      </w:pPr>
      <w:r>
        <w:rPr>
          <w:rFonts w:ascii="仿宋_GB2312" w:eastAsia="仿宋_GB2312" w:hAnsi="仿宋_GB2312"/>
          <w:b/>
          <w:color w:val="000000"/>
          <w:kern w:val="0"/>
          <w:sz w:val="32"/>
          <w:szCs w:val="32"/>
        </w:rPr>
        <w:t>202</w:t>
      </w:r>
      <w:r>
        <w:rPr>
          <w:rFonts w:ascii="仿宋_GB2312" w:eastAsia="仿宋_GB2312" w:hAnsi="仿宋_GB2312" w:hint="eastAsia"/>
          <w:b/>
          <w:color w:val="000000"/>
          <w:kern w:val="0"/>
          <w:sz w:val="32"/>
          <w:szCs w:val="32"/>
        </w:rPr>
        <w:t>5</w:t>
      </w:r>
      <w:r>
        <w:rPr>
          <w:rFonts w:ascii="仿宋_GB2312" w:eastAsia="仿宋_GB2312" w:hAnsi="仿宋_GB2312"/>
          <w:b/>
          <w:color w:val="000000"/>
          <w:kern w:val="0"/>
          <w:sz w:val="32"/>
          <w:szCs w:val="32"/>
        </w:rPr>
        <w:t>年度预期成果：</w:t>
      </w:r>
    </w:p>
    <w:p w14:paraId="383E8661" w14:textId="77777777" w:rsidR="00D01483" w:rsidRDefault="00DB751C">
      <w:pPr>
        <w:adjustRightInd w:val="0"/>
        <w:snapToGrid w:val="0"/>
        <w:spacing w:line="4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w:t>
      </w:r>
      <w:r>
        <w:rPr>
          <w:rFonts w:eastAsia="仿宋_GB2312"/>
          <w:color w:val="000000"/>
          <w:kern w:val="0"/>
          <w:sz w:val="32"/>
          <w:szCs w:val="32"/>
        </w:rPr>
        <w:t>建立甘肃北山地区岩浆型铜镍矿勘查模型</w:t>
      </w:r>
      <w:r>
        <w:rPr>
          <w:rFonts w:eastAsia="仿宋_GB2312" w:hint="eastAsia"/>
          <w:color w:val="000000"/>
          <w:kern w:val="0"/>
          <w:sz w:val="32"/>
          <w:szCs w:val="32"/>
        </w:rPr>
        <w:t>。</w:t>
      </w:r>
    </w:p>
    <w:p w14:paraId="51B61BB7" w14:textId="77777777" w:rsidR="00D01483" w:rsidRDefault="00DB751C">
      <w:pPr>
        <w:adjustRightInd w:val="0"/>
        <w:snapToGrid w:val="0"/>
        <w:spacing w:line="4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color w:val="000000"/>
          <w:kern w:val="0"/>
          <w:sz w:val="32"/>
          <w:szCs w:val="32"/>
        </w:rPr>
        <w:t>提交《甘肃北山岩浆型铜镍矿成矿规律与选区研究报告》</w:t>
      </w:r>
      <w:r>
        <w:rPr>
          <w:rFonts w:eastAsia="仿宋_GB2312" w:hint="eastAsia"/>
          <w:color w:val="000000"/>
          <w:kern w:val="0"/>
          <w:sz w:val="32"/>
          <w:szCs w:val="32"/>
        </w:rPr>
        <w:t>1</w:t>
      </w:r>
      <w:r>
        <w:rPr>
          <w:rFonts w:eastAsia="仿宋_GB2312" w:hint="eastAsia"/>
          <w:color w:val="000000"/>
          <w:kern w:val="0"/>
          <w:sz w:val="32"/>
          <w:szCs w:val="32"/>
        </w:rPr>
        <w:t>份</w:t>
      </w:r>
      <w:r>
        <w:rPr>
          <w:rFonts w:eastAsia="仿宋_GB2312" w:hint="eastAsia"/>
          <w:color w:val="000000"/>
          <w:kern w:val="0"/>
          <w:sz w:val="32"/>
          <w:szCs w:val="32"/>
        </w:rPr>
        <w:t>。</w:t>
      </w:r>
    </w:p>
    <w:p w14:paraId="52522B93" w14:textId="6D1D6BE1" w:rsidR="00D01483" w:rsidRDefault="00DB751C">
      <w:pPr>
        <w:adjustRightInd w:val="0"/>
        <w:snapToGrid w:val="0"/>
        <w:spacing w:line="4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3.</w:t>
      </w:r>
      <w:r>
        <w:rPr>
          <w:rFonts w:eastAsia="仿宋_GB2312"/>
          <w:color w:val="000000"/>
          <w:kern w:val="0"/>
          <w:sz w:val="32"/>
          <w:szCs w:val="32"/>
        </w:rPr>
        <w:t>提交找矿靶区</w:t>
      </w:r>
      <w:r>
        <w:rPr>
          <w:rFonts w:eastAsia="仿宋_GB2312"/>
          <w:color w:val="000000"/>
          <w:kern w:val="0"/>
          <w:sz w:val="32"/>
          <w:szCs w:val="32"/>
        </w:rPr>
        <w:t>1</w:t>
      </w:r>
      <w:r>
        <w:rPr>
          <w:rFonts w:eastAsia="仿宋_GB2312" w:hint="eastAsia"/>
          <w:color w:val="000000"/>
          <w:kern w:val="0"/>
          <w:sz w:val="32"/>
          <w:szCs w:val="32"/>
        </w:rPr>
        <w:t>-2</w:t>
      </w:r>
      <w:r>
        <w:rPr>
          <w:rFonts w:eastAsia="仿宋_GB2312"/>
          <w:color w:val="000000"/>
          <w:kern w:val="0"/>
          <w:sz w:val="32"/>
          <w:szCs w:val="32"/>
        </w:rPr>
        <w:t>处</w:t>
      </w:r>
      <w:r>
        <w:rPr>
          <w:rFonts w:eastAsia="仿宋_GB2312" w:hint="eastAsia"/>
          <w:color w:val="000000"/>
          <w:kern w:val="0"/>
          <w:sz w:val="32"/>
          <w:szCs w:val="32"/>
        </w:rPr>
        <w:t>。</w:t>
      </w:r>
    </w:p>
    <w:p w14:paraId="355E760D" w14:textId="77777777" w:rsidR="00D01483" w:rsidRDefault="00DB751C">
      <w:pPr>
        <w:adjustRightInd w:val="0"/>
        <w:snapToGrid w:val="0"/>
        <w:spacing w:line="48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lastRenderedPageBreak/>
        <w:t>4.</w:t>
      </w:r>
      <w:r>
        <w:rPr>
          <w:rFonts w:eastAsia="仿宋_GB2312" w:hint="eastAsia"/>
          <w:color w:val="000000"/>
          <w:kern w:val="0"/>
          <w:sz w:val="32"/>
          <w:szCs w:val="32"/>
        </w:rPr>
        <w:t>提交大比例尺地质草测、地化剖面所有原始记录和成果图件。</w:t>
      </w:r>
    </w:p>
    <w:p w14:paraId="03E3ADCA" w14:textId="77777777" w:rsidR="00D01483" w:rsidRDefault="00DB751C">
      <w:pPr>
        <w:adjustRightInd w:val="0"/>
        <w:snapToGrid w:val="0"/>
        <w:spacing w:line="480" w:lineRule="exact"/>
        <w:ind w:firstLineChars="200" w:firstLine="640"/>
        <w:jc w:val="left"/>
        <w:rPr>
          <w:rFonts w:eastAsia="仿宋_GB2312"/>
          <w:color w:val="000000"/>
          <w:kern w:val="0"/>
          <w:sz w:val="32"/>
          <w:szCs w:val="32"/>
        </w:rPr>
      </w:pPr>
      <w:r>
        <w:rPr>
          <w:rFonts w:eastAsia="仿宋_GB2312"/>
          <w:color w:val="000000"/>
          <w:kern w:val="0"/>
          <w:sz w:val="32"/>
          <w:szCs w:val="32"/>
        </w:rPr>
        <w:t>报告、图件符合中国地质调查局</w:t>
      </w:r>
      <w:r>
        <w:rPr>
          <w:rFonts w:eastAsia="仿宋_GB2312" w:hint="eastAsia"/>
          <w:color w:val="000000"/>
          <w:kern w:val="0"/>
          <w:sz w:val="32"/>
          <w:szCs w:val="32"/>
        </w:rPr>
        <w:t>相关技术标准。</w:t>
      </w:r>
    </w:p>
    <w:p w14:paraId="72BCAF21" w14:textId="77777777" w:rsidR="00D01483" w:rsidRDefault="00DB751C">
      <w:pPr>
        <w:adjustRightInd w:val="0"/>
        <w:snapToGrid w:val="0"/>
        <w:spacing w:beforeLines="50" w:before="156" w:line="480" w:lineRule="exact"/>
        <w:jc w:val="left"/>
        <w:rPr>
          <w:rFonts w:ascii="仿宋_GB2312" w:eastAsia="仿宋_GB2312" w:hAnsi="仿宋_GB2312" w:hint="eastAsia"/>
          <w:color w:val="000000"/>
          <w:kern w:val="0"/>
          <w:sz w:val="32"/>
          <w:szCs w:val="32"/>
        </w:rPr>
      </w:pPr>
      <w:r>
        <w:rPr>
          <w:rFonts w:ascii="仿宋_GB2312" w:eastAsia="仿宋_GB2312" w:hAnsi="仿宋_GB2312"/>
          <w:b/>
          <w:kern w:val="0"/>
          <w:sz w:val="32"/>
          <w:szCs w:val="32"/>
        </w:rPr>
        <w:t>提交报告时间：</w:t>
      </w:r>
      <w:r>
        <w:rPr>
          <w:rFonts w:ascii="仿宋_GB2312" w:eastAsia="仿宋_GB2312" w:hAnsi="仿宋_GB2312"/>
          <w:color w:val="000000"/>
          <w:kern w:val="0"/>
          <w:sz w:val="32"/>
          <w:szCs w:val="32"/>
        </w:rPr>
        <w:t>202</w:t>
      </w:r>
      <w:r>
        <w:rPr>
          <w:rFonts w:ascii="仿宋_GB2312" w:eastAsia="仿宋_GB2312" w:hAnsi="仿宋_GB2312" w:hint="eastAsia"/>
          <w:color w:val="000000"/>
          <w:kern w:val="0"/>
          <w:sz w:val="32"/>
          <w:szCs w:val="32"/>
        </w:rPr>
        <w:t>5</w:t>
      </w:r>
      <w:r>
        <w:rPr>
          <w:rFonts w:ascii="仿宋_GB2312" w:eastAsia="仿宋_GB2312" w:hAnsi="仿宋_GB2312"/>
          <w:color w:val="000000"/>
          <w:kern w:val="0"/>
          <w:sz w:val="32"/>
          <w:szCs w:val="32"/>
        </w:rPr>
        <w:t>年</w:t>
      </w:r>
      <w:r>
        <w:rPr>
          <w:rFonts w:ascii="仿宋_GB2312" w:eastAsia="仿宋_GB2312" w:hAnsi="仿宋_GB2312" w:hint="eastAsia"/>
          <w:color w:val="000000"/>
          <w:kern w:val="0"/>
          <w:sz w:val="32"/>
          <w:szCs w:val="32"/>
        </w:rPr>
        <w:t>12</w:t>
      </w:r>
      <w:r>
        <w:rPr>
          <w:rFonts w:ascii="仿宋_GB2312" w:eastAsia="仿宋_GB2312" w:hAnsi="仿宋_GB2312"/>
          <w:color w:val="000000"/>
          <w:kern w:val="0"/>
          <w:sz w:val="32"/>
          <w:szCs w:val="32"/>
        </w:rPr>
        <w:t>月。</w:t>
      </w:r>
    </w:p>
    <w:p w14:paraId="4B977CE0" w14:textId="77777777" w:rsidR="00D01483" w:rsidRDefault="00DB751C">
      <w:pPr>
        <w:adjustRightInd w:val="0"/>
        <w:snapToGrid w:val="0"/>
        <w:spacing w:beforeLines="50" w:before="156" w:line="480" w:lineRule="exact"/>
        <w:jc w:val="left"/>
        <w:rPr>
          <w:rFonts w:ascii="仿宋_GB2312" w:eastAsia="仿宋_GB2312" w:hAnsi="仿宋_GB2312" w:hint="eastAsia"/>
          <w:color w:val="000000"/>
          <w:kern w:val="0"/>
          <w:sz w:val="32"/>
          <w:szCs w:val="32"/>
        </w:rPr>
      </w:pPr>
      <w:r>
        <w:rPr>
          <w:rFonts w:ascii="仿宋_GB2312" w:eastAsia="仿宋_GB2312" w:hAnsi="仿宋_GB2312"/>
          <w:b/>
          <w:color w:val="000000"/>
          <w:kern w:val="0"/>
          <w:sz w:val="32"/>
          <w:szCs w:val="32"/>
        </w:rPr>
        <w:t>经费预算：</w:t>
      </w:r>
      <w:r>
        <w:rPr>
          <w:rFonts w:eastAsia="仿宋_GB2312"/>
          <w:color w:val="000000"/>
          <w:kern w:val="0"/>
          <w:sz w:val="32"/>
          <w:szCs w:val="32"/>
        </w:rPr>
        <w:t>202</w:t>
      </w:r>
      <w:r>
        <w:rPr>
          <w:rFonts w:eastAsia="仿宋_GB2312" w:hint="eastAsia"/>
          <w:color w:val="000000"/>
          <w:kern w:val="0"/>
          <w:sz w:val="32"/>
          <w:szCs w:val="32"/>
        </w:rPr>
        <w:t>5</w:t>
      </w:r>
      <w:r>
        <w:rPr>
          <w:rFonts w:ascii="仿宋_GB2312" w:eastAsia="仿宋_GB2312" w:hAnsi="仿宋_GB2312"/>
          <w:color w:val="000000"/>
          <w:kern w:val="0"/>
          <w:sz w:val="32"/>
          <w:szCs w:val="32"/>
        </w:rPr>
        <w:t>年度经费预算</w:t>
      </w:r>
      <w:r>
        <w:rPr>
          <w:rFonts w:ascii="仿宋_GB2312" w:eastAsia="仿宋_GB2312" w:hAnsi="仿宋_GB2312" w:hint="eastAsia"/>
          <w:color w:val="000000"/>
          <w:kern w:val="0"/>
          <w:sz w:val="32"/>
          <w:szCs w:val="32"/>
        </w:rPr>
        <w:t>50</w:t>
      </w:r>
      <w:r>
        <w:rPr>
          <w:rFonts w:ascii="仿宋_GB2312" w:eastAsia="仿宋_GB2312" w:hAnsi="仿宋_GB2312"/>
          <w:color w:val="000000"/>
          <w:kern w:val="0"/>
          <w:sz w:val="32"/>
          <w:szCs w:val="32"/>
        </w:rPr>
        <w:t>万元。</w:t>
      </w:r>
    </w:p>
    <w:p w14:paraId="0D9E68D5" w14:textId="77777777" w:rsidR="00D01483" w:rsidRDefault="00D01483">
      <w:pPr>
        <w:adjustRightInd w:val="0"/>
        <w:snapToGrid w:val="0"/>
        <w:spacing w:line="480" w:lineRule="exact"/>
        <w:jc w:val="left"/>
        <w:rPr>
          <w:rFonts w:ascii="仿宋_GB2312" w:eastAsia="仿宋_GB2312" w:hAnsi="仿宋_GB2312" w:hint="eastAsia"/>
          <w:color w:val="000000"/>
          <w:kern w:val="0"/>
          <w:sz w:val="32"/>
          <w:szCs w:val="32"/>
        </w:rPr>
      </w:pPr>
    </w:p>
    <w:p w14:paraId="448160BE" w14:textId="77777777" w:rsidR="00D01483" w:rsidRDefault="00DB751C">
      <w:pPr>
        <w:wordWrap w:val="0"/>
        <w:adjustRightInd w:val="0"/>
        <w:snapToGrid w:val="0"/>
        <w:spacing w:line="480" w:lineRule="exact"/>
        <w:jc w:val="right"/>
        <w:rPr>
          <w:rFonts w:eastAsia="仿宋_GB2312"/>
          <w:color w:val="000000"/>
          <w:kern w:val="0"/>
          <w:sz w:val="32"/>
          <w:szCs w:val="32"/>
        </w:rPr>
      </w:pPr>
      <w:r>
        <w:rPr>
          <w:rFonts w:eastAsia="仿宋_GB2312"/>
          <w:color w:val="000000"/>
          <w:kern w:val="0"/>
          <w:sz w:val="32"/>
          <w:szCs w:val="32"/>
        </w:rPr>
        <w:t>202</w:t>
      </w:r>
      <w:r>
        <w:rPr>
          <w:rFonts w:eastAsia="仿宋_GB2312" w:hint="eastAsia"/>
          <w:color w:val="000000"/>
          <w:kern w:val="0"/>
          <w:sz w:val="32"/>
          <w:szCs w:val="32"/>
        </w:rPr>
        <w:t>5</w:t>
      </w:r>
      <w:r>
        <w:rPr>
          <w:rFonts w:eastAsia="仿宋_GB2312"/>
          <w:color w:val="000000"/>
          <w:kern w:val="0"/>
          <w:sz w:val="32"/>
          <w:szCs w:val="32"/>
        </w:rPr>
        <w:t>年</w:t>
      </w:r>
      <w:r>
        <w:rPr>
          <w:rFonts w:eastAsia="仿宋_GB2312" w:hint="eastAsia"/>
          <w:color w:val="000000"/>
          <w:kern w:val="0"/>
          <w:sz w:val="32"/>
          <w:szCs w:val="32"/>
        </w:rPr>
        <w:t xml:space="preserve"> </w:t>
      </w:r>
      <w:r>
        <w:rPr>
          <w:rFonts w:eastAsia="仿宋_GB2312"/>
          <w:color w:val="000000"/>
          <w:kern w:val="0"/>
          <w:sz w:val="32"/>
          <w:szCs w:val="32"/>
        </w:rPr>
        <w:t>月</w:t>
      </w:r>
      <w:r>
        <w:rPr>
          <w:rFonts w:eastAsia="仿宋_GB2312" w:hint="eastAsia"/>
          <w:color w:val="000000"/>
          <w:kern w:val="0"/>
          <w:sz w:val="32"/>
          <w:szCs w:val="32"/>
        </w:rPr>
        <w:t xml:space="preserve"> </w:t>
      </w:r>
      <w:r>
        <w:rPr>
          <w:rFonts w:eastAsia="仿宋_GB2312"/>
          <w:color w:val="000000"/>
          <w:kern w:val="0"/>
          <w:sz w:val="32"/>
          <w:szCs w:val="32"/>
        </w:rPr>
        <w:t>日</w:t>
      </w:r>
    </w:p>
    <w:sectPr w:rsidR="00D01483">
      <w:head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F8E77" w14:textId="77777777" w:rsidR="00DB751C" w:rsidRDefault="00DB751C">
      <w:r>
        <w:separator/>
      </w:r>
    </w:p>
  </w:endnote>
  <w:endnote w:type="continuationSeparator" w:id="0">
    <w:p w14:paraId="2419CD65" w14:textId="77777777" w:rsidR="00DB751C" w:rsidRDefault="00DB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B6315" w14:textId="77777777" w:rsidR="00DB751C" w:rsidRDefault="00DB751C">
      <w:r>
        <w:separator/>
      </w:r>
    </w:p>
  </w:footnote>
  <w:footnote w:type="continuationSeparator" w:id="0">
    <w:p w14:paraId="253324E7" w14:textId="77777777" w:rsidR="00DB751C" w:rsidRDefault="00DB7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91634" w14:textId="77777777" w:rsidR="00D01483" w:rsidRDefault="00D01483">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7978"/>
    <w:rsid w:val="00004951"/>
    <w:rsid w:val="000168B6"/>
    <w:rsid w:val="00022F0A"/>
    <w:rsid w:val="00023D5B"/>
    <w:rsid w:val="00030646"/>
    <w:rsid w:val="000312E5"/>
    <w:rsid w:val="00036E99"/>
    <w:rsid w:val="00053893"/>
    <w:rsid w:val="00060692"/>
    <w:rsid w:val="00066A0C"/>
    <w:rsid w:val="00074EAA"/>
    <w:rsid w:val="00076898"/>
    <w:rsid w:val="00082889"/>
    <w:rsid w:val="00082FDA"/>
    <w:rsid w:val="000876C1"/>
    <w:rsid w:val="000907CC"/>
    <w:rsid w:val="00096B67"/>
    <w:rsid w:val="000B03C5"/>
    <w:rsid w:val="000B6030"/>
    <w:rsid w:val="000B758D"/>
    <w:rsid w:val="000C0D4F"/>
    <w:rsid w:val="000C314B"/>
    <w:rsid w:val="000C3684"/>
    <w:rsid w:val="000C7E96"/>
    <w:rsid w:val="000E0A8B"/>
    <w:rsid w:val="001221D9"/>
    <w:rsid w:val="00134E1A"/>
    <w:rsid w:val="00147031"/>
    <w:rsid w:val="00165338"/>
    <w:rsid w:val="001673C2"/>
    <w:rsid w:val="00171348"/>
    <w:rsid w:val="00171D9B"/>
    <w:rsid w:val="00173FD5"/>
    <w:rsid w:val="00177987"/>
    <w:rsid w:val="00185A16"/>
    <w:rsid w:val="00197C71"/>
    <w:rsid w:val="00197E29"/>
    <w:rsid w:val="001B6997"/>
    <w:rsid w:val="001C14F3"/>
    <w:rsid w:val="001C22FF"/>
    <w:rsid w:val="001D0348"/>
    <w:rsid w:val="001D5AEE"/>
    <w:rsid w:val="001E30B6"/>
    <w:rsid w:val="001E38B9"/>
    <w:rsid w:val="001F4132"/>
    <w:rsid w:val="001F63DC"/>
    <w:rsid w:val="002076B7"/>
    <w:rsid w:val="00220F48"/>
    <w:rsid w:val="00224E81"/>
    <w:rsid w:val="00226AEC"/>
    <w:rsid w:val="0023086B"/>
    <w:rsid w:val="00231896"/>
    <w:rsid w:val="002527DE"/>
    <w:rsid w:val="002531BD"/>
    <w:rsid w:val="00280635"/>
    <w:rsid w:val="00285687"/>
    <w:rsid w:val="00286B3D"/>
    <w:rsid w:val="002A02ED"/>
    <w:rsid w:val="002A1383"/>
    <w:rsid w:val="002B0847"/>
    <w:rsid w:val="002B0FFD"/>
    <w:rsid w:val="002C051F"/>
    <w:rsid w:val="002C76FF"/>
    <w:rsid w:val="002C7A59"/>
    <w:rsid w:val="002D28A3"/>
    <w:rsid w:val="002E002E"/>
    <w:rsid w:val="002F472F"/>
    <w:rsid w:val="00312026"/>
    <w:rsid w:val="00312954"/>
    <w:rsid w:val="00312AD1"/>
    <w:rsid w:val="0031327C"/>
    <w:rsid w:val="00313847"/>
    <w:rsid w:val="00316CA3"/>
    <w:rsid w:val="00327B48"/>
    <w:rsid w:val="00336D16"/>
    <w:rsid w:val="00337507"/>
    <w:rsid w:val="00342BC8"/>
    <w:rsid w:val="00344A8C"/>
    <w:rsid w:val="00353E19"/>
    <w:rsid w:val="00357FA7"/>
    <w:rsid w:val="003662F9"/>
    <w:rsid w:val="0037798D"/>
    <w:rsid w:val="00383959"/>
    <w:rsid w:val="00390FE0"/>
    <w:rsid w:val="0039300C"/>
    <w:rsid w:val="0039332A"/>
    <w:rsid w:val="00395279"/>
    <w:rsid w:val="003973B2"/>
    <w:rsid w:val="003A38AE"/>
    <w:rsid w:val="003B125F"/>
    <w:rsid w:val="003B53A4"/>
    <w:rsid w:val="003B6793"/>
    <w:rsid w:val="003C6444"/>
    <w:rsid w:val="003D7DA4"/>
    <w:rsid w:val="003E4F37"/>
    <w:rsid w:val="003E77FF"/>
    <w:rsid w:val="003E7B67"/>
    <w:rsid w:val="003F24E9"/>
    <w:rsid w:val="003F6771"/>
    <w:rsid w:val="00406268"/>
    <w:rsid w:val="00406BB3"/>
    <w:rsid w:val="004232A0"/>
    <w:rsid w:val="004238C3"/>
    <w:rsid w:val="00424D32"/>
    <w:rsid w:val="00427978"/>
    <w:rsid w:val="00427B9B"/>
    <w:rsid w:val="004305EF"/>
    <w:rsid w:val="004324B5"/>
    <w:rsid w:val="004332B0"/>
    <w:rsid w:val="00462267"/>
    <w:rsid w:val="0046570C"/>
    <w:rsid w:val="00465D78"/>
    <w:rsid w:val="00467B77"/>
    <w:rsid w:val="004771F2"/>
    <w:rsid w:val="0048127B"/>
    <w:rsid w:val="004830C1"/>
    <w:rsid w:val="00490546"/>
    <w:rsid w:val="00491E77"/>
    <w:rsid w:val="00494EB0"/>
    <w:rsid w:val="004A4884"/>
    <w:rsid w:val="004A656E"/>
    <w:rsid w:val="004B09A3"/>
    <w:rsid w:val="004B0ADE"/>
    <w:rsid w:val="004C6257"/>
    <w:rsid w:val="004D78E0"/>
    <w:rsid w:val="004E45A8"/>
    <w:rsid w:val="004F376B"/>
    <w:rsid w:val="004F64B5"/>
    <w:rsid w:val="00511240"/>
    <w:rsid w:val="005132FD"/>
    <w:rsid w:val="00514108"/>
    <w:rsid w:val="00516CB1"/>
    <w:rsid w:val="00521893"/>
    <w:rsid w:val="00534126"/>
    <w:rsid w:val="00547F79"/>
    <w:rsid w:val="00551B2C"/>
    <w:rsid w:val="005602FD"/>
    <w:rsid w:val="005657EA"/>
    <w:rsid w:val="0056726D"/>
    <w:rsid w:val="0057173C"/>
    <w:rsid w:val="00576F22"/>
    <w:rsid w:val="005A1E75"/>
    <w:rsid w:val="005A57DC"/>
    <w:rsid w:val="005C16F3"/>
    <w:rsid w:val="005D540D"/>
    <w:rsid w:val="005E00DF"/>
    <w:rsid w:val="005E2A77"/>
    <w:rsid w:val="005E5EB2"/>
    <w:rsid w:val="005F49D9"/>
    <w:rsid w:val="00604BA6"/>
    <w:rsid w:val="00605691"/>
    <w:rsid w:val="00605A3D"/>
    <w:rsid w:val="00605E63"/>
    <w:rsid w:val="00631D98"/>
    <w:rsid w:val="00632F82"/>
    <w:rsid w:val="0063570F"/>
    <w:rsid w:val="00644056"/>
    <w:rsid w:val="006527A1"/>
    <w:rsid w:val="00670A7F"/>
    <w:rsid w:val="00673A48"/>
    <w:rsid w:val="00674589"/>
    <w:rsid w:val="0067618C"/>
    <w:rsid w:val="00677BBC"/>
    <w:rsid w:val="00683EBB"/>
    <w:rsid w:val="00685742"/>
    <w:rsid w:val="00685D63"/>
    <w:rsid w:val="006A34CD"/>
    <w:rsid w:val="006B107C"/>
    <w:rsid w:val="006B41E9"/>
    <w:rsid w:val="006B590B"/>
    <w:rsid w:val="006B614D"/>
    <w:rsid w:val="006C37B2"/>
    <w:rsid w:val="006C3A37"/>
    <w:rsid w:val="006D41B9"/>
    <w:rsid w:val="006D487C"/>
    <w:rsid w:val="006E102B"/>
    <w:rsid w:val="006F2AA5"/>
    <w:rsid w:val="00710898"/>
    <w:rsid w:val="007138DD"/>
    <w:rsid w:val="00714FD8"/>
    <w:rsid w:val="00716500"/>
    <w:rsid w:val="007274B8"/>
    <w:rsid w:val="007326D8"/>
    <w:rsid w:val="00737AFA"/>
    <w:rsid w:val="007401C4"/>
    <w:rsid w:val="007456CD"/>
    <w:rsid w:val="00745FFE"/>
    <w:rsid w:val="00753921"/>
    <w:rsid w:val="00756459"/>
    <w:rsid w:val="00764581"/>
    <w:rsid w:val="00765FB0"/>
    <w:rsid w:val="00782569"/>
    <w:rsid w:val="007A01C9"/>
    <w:rsid w:val="007A1600"/>
    <w:rsid w:val="007A5659"/>
    <w:rsid w:val="007B75E6"/>
    <w:rsid w:val="007C0E08"/>
    <w:rsid w:val="007C47D2"/>
    <w:rsid w:val="007E000F"/>
    <w:rsid w:val="007F2C22"/>
    <w:rsid w:val="007F55C6"/>
    <w:rsid w:val="00800420"/>
    <w:rsid w:val="00803456"/>
    <w:rsid w:val="00807FAF"/>
    <w:rsid w:val="00811A72"/>
    <w:rsid w:val="00812BC6"/>
    <w:rsid w:val="00813F17"/>
    <w:rsid w:val="00817751"/>
    <w:rsid w:val="00817D91"/>
    <w:rsid w:val="00822A8C"/>
    <w:rsid w:val="00823E7F"/>
    <w:rsid w:val="00827B77"/>
    <w:rsid w:val="00832B20"/>
    <w:rsid w:val="0083535C"/>
    <w:rsid w:val="0084249F"/>
    <w:rsid w:val="00857BCF"/>
    <w:rsid w:val="00864B23"/>
    <w:rsid w:val="0086782D"/>
    <w:rsid w:val="00875E93"/>
    <w:rsid w:val="008834A2"/>
    <w:rsid w:val="008856F0"/>
    <w:rsid w:val="00891D0D"/>
    <w:rsid w:val="008A61AB"/>
    <w:rsid w:val="008A6B50"/>
    <w:rsid w:val="008B260D"/>
    <w:rsid w:val="008C48BB"/>
    <w:rsid w:val="008C61C6"/>
    <w:rsid w:val="008C6FC6"/>
    <w:rsid w:val="008D159A"/>
    <w:rsid w:val="008D4422"/>
    <w:rsid w:val="008E160E"/>
    <w:rsid w:val="008E2730"/>
    <w:rsid w:val="008E724D"/>
    <w:rsid w:val="008F3135"/>
    <w:rsid w:val="008F5C60"/>
    <w:rsid w:val="008F70D0"/>
    <w:rsid w:val="009118C0"/>
    <w:rsid w:val="00915A9C"/>
    <w:rsid w:val="00917ECF"/>
    <w:rsid w:val="0092200D"/>
    <w:rsid w:val="009231C1"/>
    <w:rsid w:val="00923599"/>
    <w:rsid w:val="00923F22"/>
    <w:rsid w:val="00927D27"/>
    <w:rsid w:val="0095354B"/>
    <w:rsid w:val="00954E68"/>
    <w:rsid w:val="0097321F"/>
    <w:rsid w:val="00975063"/>
    <w:rsid w:val="00980AF3"/>
    <w:rsid w:val="00982B3A"/>
    <w:rsid w:val="00985794"/>
    <w:rsid w:val="009867A2"/>
    <w:rsid w:val="009872EC"/>
    <w:rsid w:val="0099083E"/>
    <w:rsid w:val="009A1A62"/>
    <w:rsid w:val="009A3020"/>
    <w:rsid w:val="009A4208"/>
    <w:rsid w:val="009A65A5"/>
    <w:rsid w:val="009B1104"/>
    <w:rsid w:val="009B17E1"/>
    <w:rsid w:val="009B725B"/>
    <w:rsid w:val="009C577E"/>
    <w:rsid w:val="009C7B25"/>
    <w:rsid w:val="009D432C"/>
    <w:rsid w:val="009D4ED6"/>
    <w:rsid w:val="009D5F5A"/>
    <w:rsid w:val="009E04C8"/>
    <w:rsid w:val="009F182C"/>
    <w:rsid w:val="009F1C31"/>
    <w:rsid w:val="009F44E9"/>
    <w:rsid w:val="00A06CA7"/>
    <w:rsid w:val="00A11F45"/>
    <w:rsid w:val="00A159E6"/>
    <w:rsid w:val="00A22F23"/>
    <w:rsid w:val="00A23498"/>
    <w:rsid w:val="00A24293"/>
    <w:rsid w:val="00A24470"/>
    <w:rsid w:val="00A31F67"/>
    <w:rsid w:val="00A657DA"/>
    <w:rsid w:val="00A70A54"/>
    <w:rsid w:val="00A772A9"/>
    <w:rsid w:val="00A83DE0"/>
    <w:rsid w:val="00A90B3A"/>
    <w:rsid w:val="00A9649A"/>
    <w:rsid w:val="00AA2DF5"/>
    <w:rsid w:val="00AB3CA6"/>
    <w:rsid w:val="00AD15AA"/>
    <w:rsid w:val="00AD29B2"/>
    <w:rsid w:val="00AD5519"/>
    <w:rsid w:val="00AE0FC8"/>
    <w:rsid w:val="00AE242A"/>
    <w:rsid w:val="00AE2D91"/>
    <w:rsid w:val="00AE5E04"/>
    <w:rsid w:val="00B00610"/>
    <w:rsid w:val="00B00CF0"/>
    <w:rsid w:val="00B041A6"/>
    <w:rsid w:val="00B05E97"/>
    <w:rsid w:val="00B06D84"/>
    <w:rsid w:val="00B23A65"/>
    <w:rsid w:val="00B310BD"/>
    <w:rsid w:val="00B33E5F"/>
    <w:rsid w:val="00B35B33"/>
    <w:rsid w:val="00B47857"/>
    <w:rsid w:val="00B5197C"/>
    <w:rsid w:val="00B540A5"/>
    <w:rsid w:val="00B54D16"/>
    <w:rsid w:val="00B7538F"/>
    <w:rsid w:val="00B9406D"/>
    <w:rsid w:val="00B974A6"/>
    <w:rsid w:val="00B97940"/>
    <w:rsid w:val="00BA0C11"/>
    <w:rsid w:val="00BA24E8"/>
    <w:rsid w:val="00BB4F56"/>
    <w:rsid w:val="00BD4BE6"/>
    <w:rsid w:val="00BE0A95"/>
    <w:rsid w:val="00BE0C0E"/>
    <w:rsid w:val="00BF012F"/>
    <w:rsid w:val="00BF0782"/>
    <w:rsid w:val="00BF0FF8"/>
    <w:rsid w:val="00BF5D74"/>
    <w:rsid w:val="00C034EA"/>
    <w:rsid w:val="00C13612"/>
    <w:rsid w:val="00C302FC"/>
    <w:rsid w:val="00C32698"/>
    <w:rsid w:val="00C36E68"/>
    <w:rsid w:val="00C431E8"/>
    <w:rsid w:val="00C51F20"/>
    <w:rsid w:val="00C52330"/>
    <w:rsid w:val="00C601AF"/>
    <w:rsid w:val="00C621E6"/>
    <w:rsid w:val="00C63741"/>
    <w:rsid w:val="00C679CE"/>
    <w:rsid w:val="00C774D4"/>
    <w:rsid w:val="00C775B5"/>
    <w:rsid w:val="00C97387"/>
    <w:rsid w:val="00CA2760"/>
    <w:rsid w:val="00CB0510"/>
    <w:rsid w:val="00CC2788"/>
    <w:rsid w:val="00CC6C15"/>
    <w:rsid w:val="00CD1FB4"/>
    <w:rsid w:val="00CD565C"/>
    <w:rsid w:val="00CD6F32"/>
    <w:rsid w:val="00CE263B"/>
    <w:rsid w:val="00CE6082"/>
    <w:rsid w:val="00D01483"/>
    <w:rsid w:val="00D13AA7"/>
    <w:rsid w:val="00D1450A"/>
    <w:rsid w:val="00D15F84"/>
    <w:rsid w:val="00D230FD"/>
    <w:rsid w:val="00D27B01"/>
    <w:rsid w:val="00D31018"/>
    <w:rsid w:val="00D32B9B"/>
    <w:rsid w:val="00D349B1"/>
    <w:rsid w:val="00D34CF6"/>
    <w:rsid w:val="00D37B32"/>
    <w:rsid w:val="00D516C6"/>
    <w:rsid w:val="00D609FF"/>
    <w:rsid w:val="00D6352C"/>
    <w:rsid w:val="00D64985"/>
    <w:rsid w:val="00D72ECE"/>
    <w:rsid w:val="00D87780"/>
    <w:rsid w:val="00D909FA"/>
    <w:rsid w:val="00DA0B90"/>
    <w:rsid w:val="00DA4814"/>
    <w:rsid w:val="00DA6EF5"/>
    <w:rsid w:val="00DB1800"/>
    <w:rsid w:val="00DB4847"/>
    <w:rsid w:val="00DB4919"/>
    <w:rsid w:val="00DB751C"/>
    <w:rsid w:val="00DD5300"/>
    <w:rsid w:val="00DD5C12"/>
    <w:rsid w:val="00DD610A"/>
    <w:rsid w:val="00DD7A2C"/>
    <w:rsid w:val="00DE402E"/>
    <w:rsid w:val="00DE7197"/>
    <w:rsid w:val="00DF0279"/>
    <w:rsid w:val="00DF3470"/>
    <w:rsid w:val="00E0609D"/>
    <w:rsid w:val="00E20042"/>
    <w:rsid w:val="00E3607D"/>
    <w:rsid w:val="00E44732"/>
    <w:rsid w:val="00E54F14"/>
    <w:rsid w:val="00E620E4"/>
    <w:rsid w:val="00E647D5"/>
    <w:rsid w:val="00E716D9"/>
    <w:rsid w:val="00E80E36"/>
    <w:rsid w:val="00E97C97"/>
    <w:rsid w:val="00EA624F"/>
    <w:rsid w:val="00EB244D"/>
    <w:rsid w:val="00EB673D"/>
    <w:rsid w:val="00EB774D"/>
    <w:rsid w:val="00EC1D06"/>
    <w:rsid w:val="00EE4EE3"/>
    <w:rsid w:val="00EE5C4A"/>
    <w:rsid w:val="00F12470"/>
    <w:rsid w:val="00F22475"/>
    <w:rsid w:val="00F30C4D"/>
    <w:rsid w:val="00F337DC"/>
    <w:rsid w:val="00F357C4"/>
    <w:rsid w:val="00F405C1"/>
    <w:rsid w:val="00F45E9F"/>
    <w:rsid w:val="00F50341"/>
    <w:rsid w:val="00F50CB7"/>
    <w:rsid w:val="00F546AC"/>
    <w:rsid w:val="00F57B47"/>
    <w:rsid w:val="00F717CC"/>
    <w:rsid w:val="00F91282"/>
    <w:rsid w:val="00FA07A6"/>
    <w:rsid w:val="00FA13D1"/>
    <w:rsid w:val="00FA5E1A"/>
    <w:rsid w:val="00FB19AE"/>
    <w:rsid w:val="00FB3AF6"/>
    <w:rsid w:val="00FB4C04"/>
    <w:rsid w:val="00FC0C88"/>
    <w:rsid w:val="00FC5646"/>
    <w:rsid w:val="00FD0183"/>
    <w:rsid w:val="00FD2A87"/>
    <w:rsid w:val="00FE4E37"/>
    <w:rsid w:val="00FF438B"/>
    <w:rsid w:val="00FF66E1"/>
    <w:rsid w:val="04A175B4"/>
    <w:rsid w:val="133746B8"/>
    <w:rsid w:val="16585B40"/>
    <w:rsid w:val="1B5B2029"/>
    <w:rsid w:val="210B0AA2"/>
    <w:rsid w:val="44996363"/>
    <w:rsid w:val="52E50D16"/>
    <w:rsid w:val="56F03792"/>
    <w:rsid w:val="5E7D69A5"/>
    <w:rsid w:val="74D5543C"/>
    <w:rsid w:val="775B5D37"/>
    <w:rsid w:val="79936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007B51-BD6B-4392-A80E-9116BEF9D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qFormat="1"/>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8"/>
      <w:szCs w:val="2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a5"/>
    <w:uiPriority w:val="99"/>
    <w:semiHidden/>
    <w:unhideWhenUsed/>
    <w:qFormat/>
    <w:pPr>
      <w:jc w:val="left"/>
    </w:pPr>
  </w:style>
  <w:style w:type="paragraph" w:styleId="a6">
    <w:name w:val="Body Text Indent"/>
    <w:basedOn w:val="a"/>
    <w:link w:val="a7"/>
    <w:unhideWhenUsed/>
    <w:qFormat/>
    <w:pPr>
      <w:spacing w:after="120"/>
      <w:ind w:leftChars="200" w:left="420" w:firstLineChars="200" w:firstLine="200"/>
    </w:pPr>
    <w:rPr>
      <w:rFonts w:ascii="Calibri" w:eastAsia="仿宋_GB2312" w:hAnsi="Calibri"/>
      <w:sz w:val="32"/>
      <w:szCs w:val="22"/>
    </w:rPr>
  </w:style>
  <w:style w:type="paragraph" w:styleId="a8">
    <w:name w:val="Date"/>
    <w:basedOn w:val="a"/>
    <w:next w:val="a"/>
    <w:semiHidden/>
    <w:qFormat/>
    <w:pPr>
      <w:ind w:leftChars="2500" w:left="100"/>
    </w:pPr>
    <w:rPr>
      <w:rFonts w:ascii="仿宋_GB2312" w:eastAsia="仿宋_GB2312" w:hAnsi="宋体"/>
      <w:sz w:val="32"/>
    </w:rPr>
  </w:style>
  <w:style w:type="paragraph" w:styleId="a9">
    <w:name w:val="Balloon Text"/>
    <w:basedOn w:val="a"/>
    <w:link w:val="aa"/>
    <w:uiPriority w:val="99"/>
    <w:semiHidden/>
    <w:unhideWhenUsed/>
    <w:qFormat/>
    <w:rPr>
      <w:sz w:val="18"/>
      <w:szCs w:val="18"/>
    </w:rPr>
  </w:style>
  <w:style w:type="paragraph" w:styleId="ab">
    <w:name w:val="footer"/>
    <w:basedOn w:val="a"/>
    <w:semiHidden/>
    <w:qFormat/>
    <w:pPr>
      <w:tabs>
        <w:tab w:val="center" w:pos="4153"/>
        <w:tab w:val="right" w:pos="8306"/>
      </w:tabs>
      <w:snapToGrid w:val="0"/>
      <w:jc w:val="left"/>
    </w:pPr>
    <w:rPr>
      <w:sz w:val="18"/>
      <w:szCs w:val="18"/>
    </w:rPr>
  </w:style>
  <w:style w:type="paragraph" w:styleId="ac">
    <w:name w:val="header"/>
    <w:basedOn w:val="a"/>
    <w:semiHidden/>
    <w:qFormat/>
    <w:pPr>
      <w:pBdr>
        <w:bottom w:val="single" w:sz="6" w:space="1" w:color="auto"/>
      </w:pBdr>
      <w:tabs>
        <w:tab w:val="center" w:pos="4153"/>
        <w:tab w:val="right" w:pos="8306"/>
      </w:tabs>
      <w:snapToGrid w:val="0"/>
      <w:jc w:val="center"/>
    </w:pPr>
    <w:rPr>
      <w:sz w:val="18"/>
    </w:rPr>
  </w:style>
  <w:style w:type="paragraph" w:styleId="ad">
    <w:name w:val="annotation subject"/>
    <w:basedOn w:val="a4"/>
    <w:next w:val="a4"/>
    <w:link w:val="ae"/>
    <w:uiPriority w:val="99"/>
    <w:semiHidden/>
    <w:unhideWhenUsed/>
    <w:qFormat/>
    <w:rPr>
      <w:b/>
      <w:bCs/>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semiHidden/>
    <w:qFormat/>
  </w:style>
  <w:style w:type="character" w:styleId="af1">
    <w:name w:val="annotation reference"/>
    <w:basedOn w:val="a0"/>
    <w:uiPriority w:val="99"/>
    <w:semiHidden/>
    <w:unhideWhenUsed/>
    <w:qFormat/>
    <w:rPr>
      <w:sz w:val="21"/>
      <w:szCs w:val="21"/>
    </w:rPr>
  </w:style>
  <w:style w:type="paragraph" w:customStyle="1" w:styleId="ParaChar">
    <w:name w:val="默认段落字体 Para Char"/>
    <w:basedOn w:val="a"/>
    <w:qFormat/>
  </w:style>
  <w:style w:type="paragraph" w:customStyle="1" w:styleId="CharCharCharChar">
    <w:name w:val="Char Char Char Char"/>
    <w:basedOn w:val="a"/>
    <w:next w:val="a"/>
    <w:qFormat/>
    <w:pPr>
      <w:spacing w:line="360" w:lineRule="auto"/>
      <w:ind w:firstLineChars="200" w:firstLine="420"/>
    </w:pPr>
    <w:rPr>
      <w:rFonts w:eastAsia="仿宋_GB2312"/>
      <w:sz w:val="24"/>
    </w:rPr>
  </w:style>
  <w:style w:type="character" w:styleId="af2">
    <w:name w:val="Placeholder Text"/>
    <w:basedOn w:val="a0"/>
    <w:uiPriority w:val="99"/>
    <w:semiHidden/>
    <w:qFormat/>
    <w:rPr>
      <w:color w:val="808080"/>
    </w:rPr>
  </w:style>
  <w:style w:type="character" w:customStyle="1" w:styleId="aa">
    <w:name w:val="批注框文本 字符"/>
    <w:basedOn w:val="a0"/>
    <w:link w:val="a9"/>
    <w:uiPriority w:val="99"/>
    <w:semiHidden/>
    <w:qFormat/>
    <w:rPr>
      <w:kern w:val="2"/>
      <w:sz w:val="18"/>
      <w:szCs w:val="18"/>
    </w:rPr>
  </w:style>
  <w:style w:type="character" w:customStyle="1" w:styleId="1">
    <w:name w:val="样式1"/>
    <w:basedOn w:val="a0"/>
    <w:uiPriority w:val="1"/>
    <w:qFormat/>
    <w:rPr>
      <w:rFonts w:eastAsia="仿宋_GB2312"/>
      <w:sz w:val="32"/>
    </w:rPr>
  </w:style>
  <w:style w:type="character" w:customStyle="1" w:styleId="21">
    <w:name w:val="样式2"/>
    <w:basedOn w:val="a0"/>
    <w:uiPriority w:val="1"/>
    <w:qFormat/>
    <w:rPr>
      <w:b/>
    </w:rPr>
  </w:style>
  <w:style w:type="character" w:customStyle="1" w:styleId="3">
    <w:name w:val="样式3"/>
    <w:basedOn w:val="a0"/>
    <w:uiPriority w:val="1"/>
    <w:qFormat/>
    <w:rPr>
      <w:rFonts w:eastAsia="仿宋_GB2312"/>
      <w:b/>
    </w:rPr>
  </w:style>
  <w:style w:type="character" w:customStyle="1" w:styleId="4">
    <w:name w:val="样式4"/>
    <w:basedOn w:val="a0"/>
    <w:uiPriority w:val="1"/>
    <w:qFormat/>
    <w:rPr>
      <w:rFonts w:eastAsia="仿宋_GB2312"/>
      <w:b/>
      <w:sz w:val="32"/>
    </w:rPr>
  </w:style>
  <w:style w:type="character" w:customStyle="1" w:styleId="20">
    <w:name w:val="标题 2 字符"/>
    <w:basedOn w:val="a0"/>
    <w:link w:val="2"/>
    <w:uiPriority w:val="9"/>
    <w:qFormat/>
    <w:rPr>
      <w:rFonts w:ascii="Cambria" w:eastAsia="宋体" w:hAnsi="Cambria" w:cs="Times New Roman"/>
      <w:b/>
      <w:bCs/>
      <w:kern w:val="2"/>
      <w:sz w:val="32"/>
      <w:szCs w:val="32"/>
    </w:rPr>
  </w:style>
  <w:style w:type="character" w:customStyle="1" w:styleId="a5">
    <w:name w:val="批注文字 字符"/>
    <w:basedOn w:val="a0"/>
    <w:link w:val="a4"/>
    <w:uiPriority w:val="99"/>
    <w:semiHidden/>
    <w:qFormat/>
    <w:rPr>
      <w:kern w:val="2"/>
      <w:sz w:val="28"/>
      <w:szCs w:val="24"/>
    </w:rPr>
  </w:style>
  <w:style w:type="character" w:customStyle="1" w:styleId="ae">
    <w:name w:val="批注主题 字符"/>
    <w:basedOn w:val="a5"/>
    <w:link w:val="ad"/>
    <w:uiPriority w:val="99"/>
    <w:semiHidden/>
    <w:qFormat/>
    <w:rPr>
      <w:b/>
      <w:bCs/>
      <w:kern w:val="2"/>
      <w:sz w:val="28"/>
      <w:szCs w:val="24"/>
    </w:rPr>
  </w:style>
  <w:style w:type="paragraph" w:customStyle="1" w:styleId="Default">
    <w:name w:val="Default"/>
    <w:qFormat/>
    <w:pPr>
      <w:widowControl w:val="0"/>
      <w:autoSpaceDE w:val="0"/>
      <w:autoSpaceDN w:val="0"/>
      <w:adjustRightInd w:val="0"/>
    </w:pPr>
    <w:rPr>
      <w:rFonts w:ascii="仿宋_GB2312" w:eastAsia="仿宋_GB2312" w:hAnsi="Calibri" w:cs="仿宋_GB2312"/>
      <w:color w:val="000000"/>
      <w:sz w:val="24"/>
      <w:szCs w:val="24"/>
    </w:rPr>
  </w:style>
  <w:style w:type="character" w:customStyle="1" w:styleId="a7">
    <w:name w:val="正文文本缩进 字符"/>
    <w:basedOn w:val="a0"/>
    <w:link w:val="a6"/>
    <w:qFormat/>
    <w:rPr>
      <w:rFonts w:ascii="Calibri" w:eastAsia="仿宋_GB2312" w:hAnsi="Calibri"/>
      <w:kern w:val="2"/>
      <w:sz w:val="32"/>
      <w:szCs w:val="22"/>
    </w:rPr>
  </w:style>
  <w:style w:type="paragraph" w:styleId="af3">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F72D32D-2BCA-4BAA-B605-E3F57BCE7EC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315</Characters>
  <Application>Microsoft Office Word</Application>
  <DocSecurity>0</DocSecurity>
  <Lines>24</Lines>
  <Paragraphs>26</Paragraphs>
  <ScaleCrop>false</ScaleCrop>
  <Company>Microsoft</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西北项目办</dc:creator>
  <cp:lastModifiedBy>常亮</cp:lastModifiedBy>
  <cp:revision>17</cp:revision>
  <cp:lastPrinted>2018-11-08T00:42:00Z</cp:lastPrinted>
  <dcterms:created xsi:type="dcterms:W3CDTF">2025-04-27T12:05:00Z</dcterms:created>
  <dcterms:modified xsi:type="dcterms:W3CDTF">2025-05-09T08:38:00Z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eyJoZGlkIjoiMzNhOWRjNWI0Y2RmNTAwNThmNzk3YTNhYTFjMTE1YjciLCJ1c2VySWQiOiI1ODkzMTg1NTEifQ==</vt:lpwstr>
  </property>
  <property fmtid="{D5CDD505-2E9C-101B-9397-08002B2CF9AE}" pid="4" name="ICV">
    <vt:lpwstr>23B6AAA513E6486EB7298E3F012C5173_12</vt:lpwstr>
  </property>
</Properties>
</file>