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86"/>
        <w:gridCol w:w="5920"/>
      </w:tblGrid>
      <w:tr w:rsidR="00893EFD" w14:paraId="2F0A632B" w14:textId="77777777">
        <w:tc>
          <w:tcPr>
            <w:tcW w:w="2586" w:type="dxa"/>
          </w:tcPr>
          <w:p w14:paraId="762DB66F" w14:textId="77777777" w:rsidR="00893EFD" w:rsidRDefault="00EB60EA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20" w:type="dxa"/>
          </w:tcPr>
          <w:p w14:paraId="52BCC625" w14:textId="77777777" w:rsidR="00893EFD" w:rsidRDefault="00EB60EA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int="eastAsia"/>
                <w:bCs/>
                <w:spacing w:val="-6"/>
                <w:sz w:val="32"/>
                <w:szCs w:val="32"/>
              </w:rPr>
              <w:t>塔里木盆地苦咸水资源化利用关键技术优选与示范</w:t>
            </w:r>
          </w:p>
        </w:tc>
      </w:tr>
      <w:tr w:rsidR="00893EFD" w14:paraId="11FB86FF" w14:textId="77777777">
        <w:tc>
          <w:tcPr>
            <w:tcW w:w="2586" w:type="dxa"/>
          </w:tcPr>
          <w:p w14:paraId="3C8B2769" w14:textId="77777777" w:rsidR="00893EFD" w:rsidRDefault="00EB60EA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20" w:type="dxa"/>
          </w:tcPr>
          <w:p w14:paraId="4173C93A" w14:textId="77777777" w:rsidR="00893EFD" w:rsidRDefault="00EB60EA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893EFD" w14:paraId="3916CB2C" w14:textId="77777777">
        <w:tc>
          <w:tcPr>
            <w:tcW w:w="2586" w:type="dxa"/>
          </w:tcPr>
          <w:p w14:paraId="79769EB4" w14:textId="54B24A6B" w:rsidR="00893EFD" w:rsidRDefault="00EB60EA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EB60EA">
              <w:rPr>
                <w:rFonts w:eastAsia="仿宋_GB2312"/>
                <w:b/>
                <w:color w:val="000000"/>
                <w:w w:val="99"/>
                <w:kern w:val="0"/>
                <w:sz w:val="32"/>
                <w:szCs w:val="32"/>
                <w:fitText w:val="1926" w:id="-723695359"/>
              </w:rPr>
              <w:t>所属</w:t>
            </w:r>
            <w:r w:rsidRPr="00EB60EA">
              <w:rPr>
                <w:rFonts w:eastAsia="仿宋_GB2312" w:hint="eastAsia"/>
                <w:b/>
                <w:color w:val="000000"/>
                <w:w w:val="99"/>
                <w:kern w:val="0"/>
                <w:sz w:val="32"/>
                <w:szCs w:val="32"/>
                <w:fitText w:val="1926" w:id="-723695359"/>
              </w:rPr>
              <w:t>二</w:t>
            </w:r>
            <w:r w:rsidRPr="00EB60EA">
              <w:rPr>
                <w:rFonts w:eastAsia="仿宋_GB2312" w:hint="eastAsia"/>
                <w:b/>
                <w:color w:val="000000"/>
                <w:w w:val="99"/>
                <w:kern w:val="0"/>
                <w:sz w:val="32"/>
                <w:szCs w:val="32"/>
                <w:fitText w:val="1926" w:id="-723695359"/>
              </w:rPr>
              <w:t>级</w:t>
            </w:r>
            <w:r w:rsidRPr="00EB60EA">
              <w:rPr>
                <w:rFonts w:eastAsia="仿宋_GB2312"/>
                <w:b/>
                <w:color w:val="000000"/>
                <w:w w:val="99"/>
                <w:kern w:val="0"/>
                <w:sz w:val="32"/>
                <w:szCs w:val="32"/>
                <w:fitText w:val="1926" w:id="-723695359"/>
              </w:rPr>
              <w:t>项</w:t>
            </w:r>
            <w:r w:rsidRPr="00EB60EA">
              <w:rPr>
                <w:rFonts w:eastAsia="仿宋_GB2312"/>
                <w:b/>
                <w:color w:val="000000"/>
                <w:spacing w:val="14"/>
                <w:w w:val="99"/>
                <w:kern w:val="0"/>
                <w:sz w:val="32"/>
                <w:szCs w:val="32"/>
                <w:fitText w:val="1926" w:id="-723695359"/>
              </w:rPr>
              <w:t>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20" w:type="dxa"/>
          </w:tcPr>
          <w:p w14:paraId="56B356D3" w14:textId="77777777" w:rsidR="00893EFD" w:rsidRDefault="00EB60EA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int="eastAsia"/>
                <w:bCs/>
                <w:spacing w:val="-6"/>
                <w:sz w:val="32"/>
                <w:szCs w:val="32"/>
              </w:rPr>
              <w:t>西北内陆盆地典型地区水文地质与水资源调查监测</w:t>
            </w:r>
          </w:p>
        </w:tc>
      </w:tr>
      <w:tr w:rsidR="00893EFD" w14:paraId="785D3071" w14:textId="77777777">
        <w:tc>
          <w:tcPr>
            <w:tcW w:w="2586" w:type="dxa"/>
          </w:tcPr>
          <w:p w14:paraId="5F7A80E8" w14:textId="77777777" w:rsidR="00893EFD" w:rsidRDefault="00EB60EA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20" w:type="dxa"/>
          </w:tcPr>
          <w:p w14:paraId="79B037E4" w14:textId="77777777" w:rsidR="00893EFD" w:rsidRDefault="00EB60EA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893EFD" w14:paraId="1251B407" w14:textId="77777777">
        <w:tc>
          <w:tcPr>
            <w:tcW w:w="2586" w:type="dxa"/>
          </w:tcPr>
          <w:p w14:paraId="3A7D2DC1" w14:textId="77777777" w:rsidR="00893EFD" w:rsidRDefault="00EB60EA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20" w:type="dxa"/>
          </w:tcPr>
          <w:p w14:paraId="6F5105A0" w14:textId="77777777" w:rsidR="00893EFD" w:rsidRDefault="00893EFD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4030415D" w14:textId="77777777" w:rsidR="00893EFD" w:rsidRDefault="00893EFD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</w:p>
    <w:p w14:paraId="09A6047E" w14:textId="77777777" w:rsidR="00893EFD" w:rsidRDefault="00EB60EA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2645E83A" w14:textId="11AE2138" w:rsidR="00893EFD" w:rsidRDefault="00EB60EA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针对塔里木盆地苦咸水特征，开展PTFE微滤膜、反渗透/纳滤膜和太阳能光热界面转换膜研究，建立绿色节能苦咸水淡化膜研发方案，</w:t>
      </w:r>
      <w:proofErr w:type="gramStart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设计多膜耦合</w:t>
      </w:r>
      <w:proofErr w:type="gramEnd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、功能互补、协同增效的梯级淡化工艺方案。</w:t>
      </w:r>
    </w:p>
    <w:p w14:paraId="470BC1A3" w14:textId="39EDDBE9" w:rsidR="00893EFD" w:rsidRDefault="00EB60EA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工作量：</w:t>
      </w:r>
    </w:p>
    <w:p w14:paraId="1CEF9AEC" w14:textId="77777777" w:rsidR="00EB60EA" w:rsidRDefault="00EB60EA" w:rsidP="00EB60EA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1.研发苦咸水淡化膜；</w:t>
      </w:r>
    </w:p>
    <w:p w14:paraId="2F1718CA" w14:textId="77777777" w:rsidR="00EB60EA" w:rsidRDefault="00EB60EA" w:rsidP="00EB60EA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2.设计梯级淡化工艺。</w:t>
      </w:r>
    </w:p>
    <w:p w14:paraId="739C2D1C" w14:textId="77777777" w:rsidR="00893EFD" w:rsidRDefault="00EB60EA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预期成果：</w:t>
      </w:r>
    </w:p>
    <w:p w14:paraId="22146501" w14:textId="77777777" w:rsidR="00EB60EA" w:rsidRDefault="00EB60EA" w:rsidP="00EB60EA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.</w:t>
      </w:r>
      <w:r>
        <w:rPr>
          <w:rFonts w:eastAsia="仿宋_GB2312" w:hint="eastAsia"/>
          <w:color w:val="000000"/>
          <w:kern w:val="0"/>
          <w:sz w:val="32"/>
          <w:szCs w:val="32"/>
        </w:rPr>
        <w:t>建立面向多种水质工况苦咸水淡化的绿色节能分离膜研发方案</w:t>
      </w:r>
      <w:proofErr w:type="gramStart"/>
      <w:r>
        <w:rPr>
          <w:rFonts w:eastAsia="仿宋_GB2312" w:hint="eastAsia"/>
          <w:color w:val="000000"/>
          <w:kern w:val="0"/>
          <w:sz w:val="32"/>
          <w:szCs w:val="32"/>
        </w:rPr>
        <w:t>和多膜耦合</w:t>
      </w:r>
      <w:proofErr w:type="gramEnd"/>
      <w:r>
        <w:rPr>
          <w:rFonts w:eastAsia="仿宋_GB2312" w:hint="eastAsia"/>
          <w:color w:val="000000"/>
          <w:kern w:val="0"/>
          <w:sz w:val="32"/>
          <w:szCs w:val="32"/>
        </w:rPr>
        <w:t>的梯级淡化工艺方案；</w:t>
      </w:r>
    </w:p>
    <w:p w14:paraId="0373A4B1" w14:textId="77777777" w:rsidR="00EB60EA" w:rsidRDefault="00EB60EA" w:rsidP="00EB60EA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2.提交《</w:t>
      </w:r>
      <w:r>
        <w:rPr>
          <w:rFonts w:eastAsia="仿宋_GB2312" w:hint="eastAsia"/>
          <w:color w:val="000000"/>
          <w:kern w:val="0"/>
          <w:sz w:val="32"/>
          <w:szCs w:val="32"/>
        </w:rPr>
        <w:t>塔里木盆地苦咸水资源化利用关键技术优选与示范成果报告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》；</w:t>
      </w:r>
    </w:p>
    <w:p w14:paraId="0681DF2A" w14:textId="77777777" w:rsidR="00EB60EA" w:rsidRPr="00250C0F" w:rsidRDefault="00EB60EA" w:rsidP="00EB60EA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3</w:t>
      </w:r>
      <w:r>
        <w:rPr>
          <w:rFonts w:eastAsia="仿宋_GB2312"/>
          <w:color w:val="000000"/>
          <w:kern w:val="0"/>
          <w:sz w:val="32"/>
          <w:szCs w:val="32"/>
        </w:rPr>
        <w:t>.</w:t>
      </w:r>
      <w:r>
        <w:rPr>
          <w:rFonts w:eastAsia="仿宋_GB2312" w:hint="eastAsia"/>
          <w:color w:val="000000"/>
          <w:kern w:val="0"/>
          <w:sz w:val="32"/>
          <w:szCs w:val="32"/>
        </w:rPr>
        <w:t>发表论文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/>
          <w:color w:val="000000"/>
          <w:kern w:val="0"/>
          <w:sz w:val="32"/>
          <w:szCs w:val="32"/>
        </w:rPr>
        <w:t>-2</w:t>
      </w:r>
      <w:r>
        <w:rPr>
          <w:rFonts w:eastAsia="仿宋_GB2312" w:hint="eastAsia"/>
          <w:color w:val="000000"/>
          <w:kern w:val="0"/>
          <w:sz w:val="32"/>
          <w:szCs w:val="32"/>
        </w:rPr>
        <w:t>篇。</w:t>
      </w:r>
    </w:p>
    <w:p w14:paraId="72BCAF21" w14:textId="77777777" w:rsidR="00893EFD" w:rsidRDefault="00EB60EA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0D9E68D5" w14:textId="77777777" w:rsidR="00893EFD" w:rsidRDefault="00EB60EA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2025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度经费预算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448160BE" w14:textId="77777777" w:rsidR="00893EFD" w:rsidRDefault="00EB60EA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893EFD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4555C" w14:textId="77777777" w:rsidR="00EB60EA" w:rsidRDefault="00EB60EA">
      <w:r>
        <w:separator/>
      </w:r>
    </w:p>
  </w:endnote>
  <w:endnote w:type="continuationSeparator" w:id="0">
    <w:p w14:paraId="2819D8F2" w14:textId="77777777" w:rsidR="00EB60EA" w:rsidRDefault="00EB6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120B6" w14:textId="77777777" w:rsidR="00EB60EA" w:rsidRDefault="00EB60EA">
      <w:r>
        <w:separator/>
      </w:r>
    </w:p>
  </w:footnote>
  <w:footnote w:type="continuationSeparator" w:id="0">
    <w:p w14:paraId="1A85EDCA" w14:textId="77777777" w:rsidR="00EB60EA" w:rsidRDefault="00EB6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893EFD" w:rsidRDefault="00893EFD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D6AB4"/>
    <w:rsid w:val="000E0A8B"/>
    <w:rsid w:val="001221D9"/>
    <w:rsid w:val="00127C39"/>
    <w:rsid w:val="00134E1A"/>
    <w:rsid w:val="001455AC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A5D18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0C0F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895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56BE5"/>
    <w:rsid w:val="00764581"/>
    <w:rsid w:val="00765FB0"/>
    <w:rsid w:val="00782569"/>
    <w:rsid w:val="00795D56"/>
    <w:rsid w:val="007A01C9"/>
    <w:rsid w:val="007A1600"/>
    <w:rsid w:val="007A5659"/>
    <w:rsid w:val="007B75E6"/>
    <w:rsid w:val="007B76D3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93EF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05FD"/>
    <w:rsid w:val="00CC2788"/>
    <w:rsid w:val="00CC6C15"/>
    <w:rsid w:val="00CD1FB4"/>
    <w:rsid w:val="00CD565C"/>
    <w:rsid w:val="00CD6F32"/>
    <w:rsid w:val="00CE263B"/>
    <w:rsid w:val="00CE6082"/>
    <w:rsid w:val="00D009F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51B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3A54"/>
    <w:rsid w:val="00E54F14"/>
    <w:rsid w:val="00E620E4"/>
    <w:rsid w:val="00E647D5"/>
    <w:rsid w:val="00E716D9"/>
    <w:rsid w:val="00E80E36"/>
    <w:rsid w:val="00E97C97"/>
    <w:rsid w:val="00EA624F"/>
    <w:rsid w:val="00EB244D"/>
    <w:rsid w:val="00EB60EA"/>
    <w:rsid w:val="00EB673D"/>
    <w:rsid w:val="00EB774D"/>
    <w:rsid w:val="00EC1D06"/>
    <w:rsid w:val="00EE4EE3"/>
    <w:rsid w:val="00EE5C4A"/>
    <w:rsid w:val="00F00D51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97D0913"/>
    <w:rsid w:val="105A290D"/>
    <w:rsid w:val="133746B8"/>
    <w:rsid w:val="143641BC"/>
    <w:rsid w:val="1D885CCC"/>
    <w:rsid w:val="210B0AA2"/>
    <w:rsid w:val="2C721DD4"/>
    <w:rsid w:val="2DE7182C"/>
    <w:rsid w:val="2E7B108D"/>
    <w:rsid w:val="343B75B2"/>
    <w:rsid w:val="37582345"/>
    <w:rsid w:val="3ABB4729"/>
    <w:rsid w:val="3B232749"/>
    <w:rsid w:val="3B610CC8"/>
    <w:rsid w:val="51011AB9"/>
    <w:rsid w:val="52E50D16"/>
    <w:rsid w:val="54F935B4"/>
    <w:rsid w:val="56424FA2"/>
    <w:rsid w:val="56B851FA"/>
    <w:rsid w:val="56F03792"/>
    <w:rsid w:val="5CA87454"/>
    <w:rsid w:val="605C4EB2"/>
    <w:rsid w:val="617C53D9"/>
    <w:rsid w:val="62184231"/>
    <w:rsid w:val="6ED0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3ADFB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9C0F9D-53A1-49DC-A7DC-8B0088414E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198</Characters>
  <Application>Microsoft Office Word</Application>
  <DocSecurity>0</DocSecurity>
  <Lines>18</Lines>
  <Paragraphs>23</Paragraphs>
  <ScaleCrop>false</ScaleCrop>
  <Company>Microsoft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3</cp:revision>
  <cp:lastPrinted>2018-11-08T00:42:00Z</cp:lastPrinted>
  <dcterms:created xsi:type="dcterms:W3CDTF">2025-05-09T03:52:00Z</dcterms:created>
  <dcterms:modified xsi:type="dcterms:W3CDTF">2025-05-09T08:27:00Z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