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8506" w:type="dxa"/>
        <w:tblInd w:w="-34" w:type="dxa"/>
        <w:tblLayout w:type="fixed"/>
        <w:tblCellMar>
          <w:top w:w="0" w:type="dxa"/>
          <w:left w:w="108" w:type="dxa"/>
          <w:bottom w:w="0" w:type="dxa"/>
          <w:right w:w="108" w:type="dxa"/>
        </w:tblCellMar>
      </w:tblPr>
      <w:tblGrid>
        <w:gridCol w:w="2552"/>
        <w:gridCol w:w="5954"/>
      </w:tblGrid>
      <w:tr w14:paraId="06A522C5">
        <w:tblPrEx>
          <w:tblCellMar>
            <w:top w:w="0" w:type="dxa"/>
            <w:left w:w="108" w:type="dxa"/>
            <w:bottom w:w="0" w:type="dxa"/>
            <w:right w:w="108" w:type="dxa"/>
          </w:tblCellMar>
        </w:tblPrEx>
        <w:tc>
          <w:tcPr>
            <w:tcW w:w="2552" w:type="dxa"/>
          </w:tcPr>
          <w:p w14:paraId="6B9CC0B1">
            <w:pPr>
              <w:adjustRightInd w:val="0"/>
              <w:snapToGrid w:val="0"/>
              <w:spacing w:line="480" w:lineRule="exact"/>
              <w:jc w:val="left"/>
              <w:rPr>
                <w:rFonts w:eastAsia="仿宋_GB2312"/>
                <w:b/>
                <w:color w:val="000000"/>
                <w:kern w:val="0"/>
                <w:sz w:val="32"/>
                <w:szCs w:val="32"/>
              </w:rPr>
            </w:pPr>
            <w:r>
              <w:rPr>
                <w:rFonts w:eastAsia="仿宋_GB2312"/>
                <w:b/>
                <w:color w:val="000000"/>
                <w:spacing w:val="108"/>
                <w:kern w:val="0"/>
                <w:sz w:val="32"/>
                <w:szCs w:val="32"/>
                <w:fitText w:val="1929" w:id="1496780334"/>
              </w:rPr>
              <w:t>委托名</w:t>
            </w:r>
            <w:r>
              <w:rPr>
                <w:rFonts w:eastAsia="仿宋_GB2312"/>
                <w:b/>
                <w:color w:val="000000"/>
                <w:spacing w:val="0"/>
                <w:kern w:val="0"/>
                <w:sz w:val="32"/>
                <w:szCs w:val="32"/>
                <w:fitText w:val="1929" w:id="1496780334"/>
              </w:rPr>
              <w:t>称</w:t>
            </w:r>
            <w:r>
              <w:rPr>
                <w:rFonts w:eastAsia="仿宋_GB2312"/>
                <w:b/>
                <w:color w:val="000000"/>
                <w:kern w:val="0"/>
                <w:sz w:val="32"/>
                <w:szCs w:val="32"/>
              </w:rPr>
              <w:t>：</w:t>
            </w:r>
          </w:p>
        </w:tc>
        <w:tc>
          <w:tcPr>
            <w:tcW w:w="5954" w:type="dxa"/>
          </w:tcPr>
          <w:p w14:paraId="5CC8DEF3">
            <w:pPr>
              <w:adjustRightInd w:val="0"/>
              <w:snapToGrid w:val="0"/>
              <w:spacing w:line="480" w:lineRule="exact"/>
              <w:jc w:val="left"/>
              <w:rPr>
                <w:rFonts w:eastAsia="仿宋_GB2312"/>
                <w:color w:val="000000"/>
                <w:kern w:val="0"/>
                <w:sz w:val="32"/>
                <w:szCs w:val="32"/>
                <w:highlight w:val="yellow"/>
              </w:rPr>
            </w:pPr>
            <w:r>
              <w:rPr>
                <w:rFonts w:eastAsia="仿宋_GB2312"/>
                <w:color w:val="000000"/>
                <w:kern w:val="0"/>
                <w:sz w:val="32"/>
                <w:szCs w:val="32"/>
              </w:rPr>
              <w:t>东昆仑夏日哈木一带超基性岩体含矿性评价与找矿预测</w:t>
            </w:r>
          </w:p>
        </w:tc>
      </w:tr>
      <w:tr w14:paraId="002575DE">
        <w:tblPrEx>
          <w:tblCellMar>
            <w:top w:w="0" w:type="dxa"/>
            <w:left w:w="108" w:type="dxa"/>
            <w:bottom w:w="0" w:type="dxa"/>
            <w:right w:w="108" w:type="dxa"/>
          </w:tblCellMar>
        </w:tblPrEx>
        <w:tc>
          <w:tcPr>
            <w:tcW w:w="2552" w:type="dxa"/>
          </w:tcPr>
          <w:p w14:paraId="05AFF615">
            <w:pPr>
              <w:adjustRightInd w:val="0"/>
              <w:snapToGrid w:val="0"/>
              <w:spacing w:line="480" w:lineRule="exact"/>
              <w:jc w:val="left"/>
              <w:rPr>
                <w:rFonts w:eastAsia="仿宋_GB2312"/>
                <w:b/>
                <w:color w:val="000000"/>
                <w:kern w:val="0"/>
                <w:sz w:val="32"/>
                <w:szCs w:val="32"/>
              </w:rPr>
            </w:pPr>
            <w:r>
              <w:rPr>
                <w:rFonts w:eastAsia="仿宋_GB2312"/>
                <w:b/>
                <w:color w:val="000000"/>
                <w:spacing w:val="0"/>
                <w:w w:val="100"/>
                <w:kern w:val="0"/>
                <w:sz w:val="32"/>
                <w:szCs w:val="32"/>
                <w:fitText w:val="1926" w:id="-723695360"/>
              </w:rPr>
              <w:t>工作起止年限</w:t>
            </w:r>
            <w:r>
              <w:rPr>
                <w:rFonts w:eastAsia="仿宋_GB2312"/>
                <w:b/>
                <w:color w:val="000000"/>
                <w:kern w:val="0"/>
                <w:sz w:val="32"/>
                <w:szCs w:val="32"/>
              </w:rPr>
              <w:t>：</w:t>
            </w:r>
          </w:p>
        </w:tc>
        <w:tc>
          <w:tcPr>
            <w:tcW w:w="5954" w:type="dxa"/>
          </w:tcPr>
          <w:p w14:paraId="1033E70F">
            <w:pPr>
              <w:adjustRightInd w:val="0"/>
              <w:snapToGrid w:val="0"/>
              <w:spacing w:line="480" w:lineRule="exact"/>
              <w:jc w:val="left"/>
              <w:rPr>
                <w:rFonts w:eastAsia="仿宋_GB2312"/>
                <w:b/>
                <w:color w:val="000000"/>
                <w:kern w:val="0"/>
                <w:sz w:val="32"/>
                <w:szCs w:val="32"/>
                <w:highlight w:val="yellow"/>
              </w:rPr>
            </w:pPr>
            <w:r>
              <w:rPr>
                <w:rFonts w:eastAsia="仿宋_GB2312"/>
                <w:color w:val="000000"/>
                <w:kern w:val="0"/>
                <w:sz w:val="32"/>
                <w:szCs w:val="32"/>
              </w:rPr>
              <w:t>2025年</w:t>
            </w:r>
          </w:p>
        </w:tc>
      </w:tr>
      <w:tr w14:paraId="1504E949">
        <w:tblPrEx>
          <w:tblCellMar>
            <w:top w:w="0" w:type="dxa"/>
            <w:left w:w="108" w:type="dxa"/>
            <w:bottom w:w="0" w:type="dxa"/>
            <w:right w:w="108" w:type="dxa"/>
          </w:tblCellMar>
        </w:tblPrEx>
        <w:tc>
          <w:tcPr>
            <w:tcW w:w="2552" w:type="dxa"/>
          </w:tcPr>
          <w:p w14:paraId="447731D6">
            <w:pPr>
              <w:adjustRightInd w:val="0"/>
              <w:snapToGrid w:val="0"/>
              <w:spacing w:line="480" w:lineRule="exact"/>
              <w:jc w:val="left"/>
              <w:rPr>
                <w:rFonts w:eastAsia="仿宋_GB2312"/>
                <w:b/>
                <w:color w:val="000000"/>
                <w:kern w:val="0"/>
                <w:sz w:val="32"/>
                <w:szCs w:val="32"/>
              </w:rPr>
            </w:pPr>
            <w:r>
              <w:rPr>
                <w:rFonts w:eastAsia="仿宋_GB2312"/>
                <w:b/>
                <w:color w:val="000000"/>
                <w:spacing w:val="0"/>
                <w:w w:val="100"/>
                <w:kern w:val="0"/>
                <w:sz w:val="32"/>
                <w:szCs w:val="32"/>
                <w:fitText w:val="1926" w:id="-723695359"/>
              </w:rPr>
              <w:t>所属</w:t>
            </w:r>
            <w:r>
              <w:rPr>
                <w:rFonts w:hint="eastAsia" w:eastAsia="仿宋_GB2312"/>
                <w:b/>
                <w:color w:val="000000"/>
                <w:spacing w:val="0"/>
                <w:w w:val="100"/>
                <w:kern w:val="0"/>
                <w:sz w:val="32"/>
                <w:szCs w:val="32"/>
                <w:fitText w:val="1926" w:id="-723695359"/>
                <w:lang w:val="en-US" w:eastAsia="zh-CN"/>
              </w:rPr>
              <w:t>三</w:t>
            </w:r>
            <w:r>
              <w:rPr>
                <w:rFonts w:eastAsia="仿宋_GB2312"/>
                <w:b/>
                <w:color w:val="000000"/>
                <w:spacing w:val="0"/>
                <w:w w:val="100"/>
                <w:kern w:val="0"/>
                <w:sz w:val="32"/>
                <w:szCs w:val="32"/>
                <w:fitText w:val="1926" w:id="-723695359"/>
              </w:rPr>
              <w:t>级项目</w:t>
            </w:r>
            <w:r>
              <w:rPr>
                <w:rFonts w:eastAsia="仿宋_GB2312"/>
                <w:b/>
                <w:color w:val="000000"/>
                <w:kern w:val="0"/>
                <w:sz w:val="32"/>
                <w:szCs w:val="32"/>
              </w:rPr>
              <w:t>：</w:t>
            </w:r>
          </w:p>
        </w:tc>
        <w:tc>
          <w:tcPr>
            <w:tcW w:w="5954" w:type="dxa"/>
          </w:tcPr>
          <w:p w14:paraId="723E8ACB">
            <w:pPr>
              <w:adjustRightInd w:val="0"/>
              <w:snapToGrid w:val="0"/>
              <w:spacing w:line="480" w:lineRule="exact"/>
              <w:jc w:val="left"/>
              <w:rPr>
                <w:rFonts w:eastAsia="仿宋_GB2312"/>
                <w:b/>
                <w:color w:val="000000"/>
                <w:kern w:val="0"/>
                <w:sz w:val="32"/>
                <w:szCs w:val="32"/>
                <w:highlight w:val="yellow"/>
              </w:rPr>
            </w:pPr>
            <w:r>
              <w:rPr>
                <w:rFonts w:hint="eastAsia" w:eastAsia="仿宋_GB2312"/>
                <w:sz w:val="32"/>
                <w:szCs w:val="32"/>
              </w:rPr>
              <w:t>新疆东昆仑屈库勒克西一带金锑矿区块优选调查评价</w:t>
            </w:r>
          </w:p>
        </w:tc>
      </w:tr>
      <w:tr w14:paraId="34576D95">
        <w:tblPrEx>
          <w:tblCellMar>
            <w:top w:w="0" w:type="dxa"/>
            <w:left w:w="108" w:type="dxa"/>
            <w:bottom w:w="0" w:type="dxa"/>
            <w:right w:w="108" w:type="dxa"/>
          </w:tblCellMar>
        </w:tblPrEx>
        <w:tc>
          <w:tcPr>
            <w:tcW w:w="2552" w:type="dxa"/>
          </w:tcPr>
          <w:p w14:paraId="5E8E3FDF">
            <w:pPr>
              <w:adjustRightInd w:val="0"/>
              <w:snapToGrid w:val="0"/>
              <w:spacing w:line="480" w:lineRule="exact"/>
              <w:jc w:val="left"/>
              <w:rPr>
                <w:rFonts w:eastAsia="仿宋_GB2312"/>
                <w:b/>
                <w:color w:val="000000"/>
                <w:kern w:val="0"/>
                <w:sz w:val="32"/>
                <w:szCs w:val="32"/>
              </w:rPr>
            </w:pPr>
            <w:r>
              <w:rPr>
                <w:rFonts w:eastAsia="仿宋_GB2312"/>
                <w:b/>
                <w:color w:val="000000"/>
                <w:spacing w:val="643"/>
                <w:kern w:val="0"/>
                <w:sz w:val="32"/>
                <w:szCs w:val="32"/>
                <w:fitText w:val="1926" w:id="-723293184"/>
              </w:rPr>
              <w:t>类</w:t>
            </w:r>
            <w:r>
              <w:rPr>
                <w:rFonts w:eastAsia="仿宋_GB2312"/>
                <w:b/>
                <w:color w:val="000000"/>
                <w:spacing w:val="0"/>
                <w:kern w:val="0"/>
                <w:sz w:val="32"/>
                <w:szCs w:val="32"/>
                <w:fitText w:val="1926" w:id="-723293184"/>
              </w:rPr>
              <w:t>型</w:t>
            </w:r>
            <w:r>
              <w:rPr>
                <w:rFonts w:eastAsia="仿宋_GB2312"/>
                <w:b/>
                <w:color w:val="000000"/>
                <w:kern w:val="0"/>
                <w:sz w:val="32"/>
                <w:szCs w:val="32"/>
              </w:rPr>
              <w:t>：</w:t>
            </w:r>
          </w:p>
        </w:tc>
        <w:tc>
          <w:tcPr>
            <w:tcW w:w="5954" w:type="dxa"/>
          </w:tcPr>
          <w:p w14:paraId="366D96AE">
            <w:pPr>
              <w:adjustRightInd w:val="0"/>
              <w:snapToGrid w:val="0"/>
              <w:spacing w:line="480" w:lineRule="exact"/>
              <w:jc w:val="left"/>
              <w:rPr>
                <w:rFonts w:eastAsia="仿宋_GB2312"/>
                <w:color w:val="000000"/>
                <w:kern w:val="0"/>
                <w:sz w:val="32"/>
                <w:szCs w:val="32"/>
                <w:highlight w:val="yellow"/>
              </w:rPr>
            </w:pPr>
            <w:r>
              <w:rPr>
                <w:rFonts w:hint="eastAsia" w:eastAsia="仿宋_GB2312"/>
                <w:color w:val="000000"/>
                <w:kern w:val="0"/>
                <w:sz w:val="32"/>
                <w:szCs w:val="32"/>
              </w:rPr>
              <w:t>评审</w:t>
            </w:r>
            <w:r>
              <w:rPr>
                <w:rFonts w:eastAsia="仿宋_GB2312"/>
                <w:color w:val="000000"/>
                <w:kern w:val="0"/>
                <w:sz w:val="32"/>
                <w:szCs w:val="32"/>
              </w:rPr>
              <w:t>委托</w:t>
            </w:r>
          </w:p>
        </w:tc>
      </w:tr>
      <w:tr w14:paraId="01524EDD">
        <w:tblPrEx>
          <w:tblCellMar>
            <w:top w:w="0" w:type="dxa"/>
            <w:left w:w="108" w:type="dxa"/>
            <w:bottom w:w="0" w:type="dxa"/>
            <w:right w:w="108" w:type="dxa"/>
          </w:tblCellMar>
        </w:tblPrEx>
        <w:tc>
          <w:tcPr>
            <w:tcW w:w="2552" w:type="dxa"/>
          </w:tcPr>
          <w:p w14:paraId="3F278E3D">
            <w:pPr>
              <w:adjustRightInd w:val="0"/>
              <w:snapToGrid w:val="0"/>
              <w:spacing w:line="480" w:lineRule="exact"/>
              <w:jc w:val="left"/>
              <w:rPr>
                <w:rFonts w:eastAsia="仿宋_GB2312"/>
                <w:b/>
                <w:color w:val="000000"/>
                <w:kern w:val="0"/>
                <w:sz w:val="32"/>
                <w:szCs w:val="32"/>
              </w:rPr>
            </w:pPr>
            <w:r>
              <w:rPr>
                <w:rFonts w:eastAsia="仿宋_GB2312"/>
                <w:b/>
                <w:color w:val="000000"/>
                <w:spacing w:val="107"/>
                <w:kern w:val="0"/>
                <w:sz w:val="32"/>
                <w:szCs w:val="32"/>
                <w:fitText w:val="1926" w:id="-723695357"/>
              </w:rPr>
              <w:t>外协单</w:t>
            </w:r>
            <w:r>
              <w:rPr>
                <w:rFonts w:eastAsia="仿宋_GB2312"/>
                <w:b/>
                <w:color w:val="000000"/>
                <w:spacing w:val="2"/>
                <w:kern w:val="0"/>
                <w:sz w:val="32"/>
                <w:szCs w:val="32"/>
                <w:fitText w:val="1926" w:id="-723695357"/>
              </w:rPr>
              <w:t>位</w:t>
            </w:r>
            <w:r>
              <w:rPr>
                <w:rFonts w:eastAsia="仿宋_GB2312"/>
                <w:b/>
                <w:color w:val="000000"/>
                <w:kern w:val="0"/>
                <w:sz w:val="32"/>
                <w:szCs w:val="32"/>
              </w:rPr>
              <w:t>：</w:t>
            </w:r>
          </w:p>
        </w:tc>
        <w:tc>
          <w:tcPr>
            <w:tcW w:w="5954" w:type="dxa"/>
          </w:tcPr>
          <w:p w14:paraId="5342801B">
            <w:pPr>
              <w:adjustRightInd w:val="0"/>
              <w:snapToGrid w:val="0"/>
              <w:spacing w:line="480" w:lineRule="exact"/>
              <w:jc w:val="left"/>
              <w:rPr>
                <w:rFonts w:eastAsia="仿宋_GB2312"/>
                <w:b/>
                <w:color w:val="000000"/>
                <w:kern w:val="0"/>
                <w:sz w:val="32"/>
                <w:szCs w:val="32"/>
                <w:highlight w:val="yellow"/>
              </w:rPr>
            </w:pPr>
          </w:p>
        </w:tc>
      </w:tr>
    </w:tbl>
    <w:p w14:paraId="7AF8D083">
      <w:pPr>
        <w:adjustRightInd w:val="0"/>
        <w:snapToGrid w:val="0"/>
        <w:spacing w:line="500" w:lineRule="exact"/>
        <w:jc w:val="left"/>
        <w:rPr>
          <w:rFonts w:eastAsia="仿宋_GB2312"/>
          <w:b/>
          <w:color w:val="000000"/>
          <w:kern w:val="0"/>
          <w:sz w:val="32"/>
          <w:szCs w:val="32"/>
        </w:rPr>
      </w:pPr>
    </w:p>
    <w:p w14:paraId="3D7F3F88">
      <w:pPr>
        <w:adjustRightInd w:val="0"/>
        <w:snapToGrid w:val="0"/>
        <w:spacing w:line="480" w:lineRule="exact"/>
        <w:jc w:val="left"/>
        <w:rPr>
          <w:rFonts w:eastAsia="仿宋_GB2312"/>
          <w:b/>
          <w:color w:val="000000"/>
          <w:kern w:val="0"/>
          <w:sz w:val="32"/>
          <w:szCs w:val="32"/>
        </w:rPr>
      </w:pPr>
      <w:r>
        <w:rPr>
          <w:rFonts w:eastAsia="仿宋_GB2312"/>
          <w:b/>
          <w:color w:val="000000"/>
          <w:kern w:val="0"/>
          <w:sz w:val="32"/>
          <w:szCs w:val="32"/>
        </w:rPr>
        <w:t>2025年度目标任务：</w:t>
      </w:r>
    </w:p>
    <w:p w14:paraId="2965CBBE">
      <w:pPr>
        <w:adjustRightInd w:val="0"/>
        <w:snapToGrid w:val="0"/>
        <w:spacing w:line="480" w:lineRule="exact"/>
        <w:ind w:firstLine="640" w:firstLineChars="200"/>
        <w:rPr>
          <w:rFonts w:eastAsia="仿宋_GB2312"/>
          <w:color w:val="000000"/>
          <w:kern w:val="0"/>
          <w:sz w:val="32"/>
          <w:szCs w:val="32"/>
        </w:rPr>
      </w:pPr>
      <w:r>
        <w:rPr>
          <w:rFonts w:eastAsia="仿宋_GB2312"/>
          <w:bCs/>
          <w:color w:val="000000"/>
          <w:kern w:val="0"/>
          <w:sz w:val="32"/>
          <w:szCs w:val="32"/>
        </w:rPr>
        <w:t>通过开展东昆仑夏日哈木一带典型矿床研究及超基性岩体含矿性评价，基于</w:t>
      </w:r>
      <w:r>
        <w:rPr>
          <w:rFonts w:hint="eastAsia" w:eastAsia="仿宋_GB2312"/>
          <w:bCs/>
          <w:color w:val="000000"/>
          <w:kern w:val="0"/>
          <w:sz w:val="32"/>
          <w:szCs w:val="32"/>
        </w:rPr>
        <w:t>多源</w:t>
      </w:r>
      <w:r>
        <w:rPr>
          <w:rFonts w:eastAsia="仿宋_GB2312"/>
          <w:bCs/>
          <w:color w:val="000000"/>
          <w:kern w:val="0"/>
          <w:sz w:val="32"/>
          <w:szCs w:val="32"/>
        </w:rPr>
        <w:t>数据分析，构建</w:t>
      </w:r>
      <w:bookmarkStart w:id="0" w:name="_GoBack"/>
      <w:bookmarkEnd w:id="0"/>
      <w:r>
        <w:rPr>
          <w:rFonts w:eastAsia="仿宋_GB2312"/>
          <w:bCs/>
          <w:color w:val="000000"/>
          <w:kern w:val="0"/>
          <w:sz w:val="32"/>
          <w:szCs w:val="32"/>
        </w:rPr>
        <w:t>东昆仑基性-超基性岩体快速识别方法及铬</w:t>
      </w:r>
      <w:r>
        <w:rPr>
          <w:rFonts w:hint="eastAsia" w:eastAsia="仿宋_GB2312"/>
          <w:bCs/>
          <w:color w:val="000000"/>
          <w:kern w:val="0"/>
          <w:sz w:val="32"/>
          <w:szCs w:val="32"/>
        </w:rPr>
        <w:t>、</w:t>
      </w:r>
      <w:r>
        <w:rPr>
          <w:rFonts w:eastAsia="仿宋_GB2312"/>
          <w:bCs/>
          <w:color w:val="000000"/>
          <w:kern w:val="0"/>
          <w:sz w:val="32"/>
          <w:szCs w:val="32"/>
        </w:rPr>
        <w:t>钴镍含矿性评价技术方法体系，</w:t>
      </w:r>
      <w:r>
        <w:rPr>
          <w:rFonts w:eastAsia="仿宋_GB2312"/>
          <w:color w:val="000000"/>
          <w:kern w:val="0"/>
          <w:sz w:val="32"/>
          <w:szCs w:val="32"/>
        </w:rPr>
        <w:t>圈定找矿靶区</w:t>
      </w:r>
      <w:r>
        <w:rPr>
          <w:rFonts w:eastAsia="仿宋_GB2312"/>
          <w:bCs/>
          <w:color w:val="000000"/>
          <w:kern w:val="0"/>
          <w:sz w:val="32"/>
          <w:szCs w:val="32"/>
        </w:rPr>
        <w:t>。</w:t>
      </w:r>
    </w:p>
    <w:p w14:paraId="366C71E2">
      <w:pPr>
        <w:adjustRightInd w:val="0"/>
        <w:snapToGrid w:val="0"/>
        <w:spacing w:before="156" w:beforeLines="50" w:line="480" w:lineRule="exact"/>
        <w:jc w:val="left"/>
        <w:rPr>
          <w:rFonts w:eastAsia="仿宋_GB2312"/>
          <w:b/>
          <w:color w:val="000000"/>
          <w:kern w:val="0"/>
          <w:sz w:val="32"/>
          <w:szCs w:val="32"/>
        </w:rPr>
      </w:pPr>
      <w:r>
        <w:rPr>
          <w:rFonts w:eastAsia="仿宋_GB2312"/>
          <w:b/>
          <w:color w:val="000000"/>
          <w:kern w:val="0"/>
          <w:sz w:val="32"/>
          <w:szCs w:val="32"/>
        </w:rPr>
        <w:t>2025年度主要实物工作量：</w:t>
      </w:r>
    </w:p>
    <w:p w14:paraId="59A91BCF">
      <w:pPr>
        <w:adjustRightInd w:val="0"/>
        <w:snapToGrid w:val="0"/>
        <w:spacing w:line="480" w:lineRule="exact"/>
        <w:ind w:firstLine="640" w:firstLineChars="200"/>
        <w:outlineLvl w:val="0"/>
        <w:rPr>
          <w:rFonts w:eastAsia="仿宋_GB2312"/>
          <w:color w:val="000000"/>
          <w:kern w:val="0"/>
          <w:sz w:val="32"/>
          <w:szCs w:val="32"/>
        </w:rPr>
      </w:pPr>
      <w:r>
        <w:rPr>
          <w:rFonts w:eastAsia="仿宋_GB2312"/>
          <w:color w:val="000000"/>
          <w:kern w:val="0"/>
          <w:sz w:val="32"/>
          <w:szCs w:val="32"/>
        </w:rPr>
        <w:t>1.1:1万地质草测5</w:t>
      </w:r>
      <w:r>
        <w:rPr>
          <w:rFonts w:hint="eastAsia" w:eastAsia="仿宋_GB2312"/>
          <w:color w:val="000000"/>
          <w:kern w:val="0"/>
          <w:sz w:val="32"/>
          <w:szCs w:val="32"/>
          <w:lang w:val="en-US" w:eastAsia="zh-CN"/>
        </w:rPr>
        <w:t>平方千米</w:t>
      </w:r>
      <w:r>
        <w:rPr>
          <w:rFonts w:eastAsia="仿宋_GB2312"/>
          <w:color w:val="000000"/>
          <w:kern w:val="0"/>
          <w:sz w:val="32"/>
          <w:szCs w:val="32"/>
        </w:rPr>
        <w:t>；</w:t>
      </w:r>
    </w:p>
    <w:p w14:paraId="0423211F">
      <w:pPr>
        <w:adjustRightInd w:val="0"/>
        <w:snapToGrid w:val="0"/>
        <w:spacing w:line="480" w:lineRule="exact"/>
        <w:ind w:firstLine="640" w:firstLineChars="200"/>
        <w:rPr>
          <w:rFonts w:eastAsia="仿宋_GB2312"/>
          <w:color w:val="000000"/>
          <w:kern w:val="0"/>
          <w:sz w:val="32"/>
          <w:szCs w:val="32"/>
        </w:rPr>
      </w:pPr>
      <w:r>
        <w:rPr>
          <w:rFonts w:eastAsia="仿宋_GB2312"/>
          <w:color w:val="000000"/>
          <w:kern w:val="0"/>
          <w:sz w:val="32"/>
          <w:szCs w:val="32"/>
        </w:rPr>
        <w:t>2.典型矿床剖析1处，钻孔观测1000米。</w:t>
      </w:r>
    </w:p>
    <w:p w14:paraId="2527CE2D">
      <w:pPr>
        <w:adjustRightInd w:val="0"/>
        <w:snapToGrid w:val="0"/>
        <w:spacing w:before="156" w:beforeLines="50" w:line="480" w:lineRule="exact"/>
        <w:jc w:val="left"/>
        <w:rPr>
          <w:rFonts w:eastAsia="仿宋_GB2312"/>
          <w:b/>
          <w:color w:val="000000"/>
          <w:kern w:val="0"/>
          <w:sz w:val="32"/>
          <w:szCs w:val="32"/>
        </w:rPr>
      </w:pPr>
      <w:r>
        <w:rPr>
          <w:rFonts w:eastAsia="仿宋_GB2312"/>
          <w:b/>
          <w:color w:val="000000"/>
          <w:kern w:val="0"/>
          <w:sz w:val="32"/>
          <w:szCs w:val="32"/>
        </w:rPr>
        <w:t>2025年度预期成果：</w:t>
      </w:r>
    </w:p>
    <w:p w14:paraId="446867F4">
      <w:pPr>
        <w:adjustRightInd w:val="0"/>
        <w:snapToGrid w:val="0"/>
        <w:spacing w:line="480" w:lineRule="exact"/>
        <w:ind w:firstLine="640" w:firstLineChars="200"/>
        <w:jc w:val="left"/>
        <w:rPr>
          <w:rFonts w:eastAsia="仿宋_GB2312"/>
          <w:color w:val="000000"/>
          <w:kern w:val="0"/>
          <w:sz w:val="32"/>
          <w:szCs w:val="32"/>
        </w:rPr>
      </w:pPr>
      <w:r>
        <w:rPr>
          <w:rFonts w:eastAsia="仿宋_GB2312"/>
          <w:color w:val="000000"/>
          <w:kern w:val="0"/>
          <w:sz w:val="32"/>
          <w:szCs w:val="32"/>
        </w:rPr>
        <w:t>1.构建基于大数据分析的东昆仑基性-超基性岩快速识别方法及铬</w:t>
      </w:r>
      <w:r>
        <w:rPr>
          <w:rFonts w:hint="eastAsia" w:eastAsia="仿宋_GB2312"/>
          <w:color w:val="000000"/>
          <w:kern w:val="0"/>
          <w:sz w:val="32"/>
          <w:szCs w:val="32"/>
        </w:rPr>
        <w:t>、</w:t>
      </w:r>
      <w:r>
        <w:rPr>
          <w:rFonts w:eastAsia="仿宋_GB2312"/>
          <w:color w:val="000000"/>
          <w:kern w:val="0"/>
          <w:sz w:val="32"/>
          <w:szCs w:val="32"/>
        </w:rPr>
        <w:t>钴镍含矿性评价技术体系，圈定找矿靶区1处。</w:t>
      </w:r>
    </w:p>
    <w:p w14:paraId="0627366A">
      <w:pPr>
        <w:adjustRightInd w:val="0"/>
        <w:snapToGrid w:val="0"/>
        <w:spacing w:line="480" w:lineRule="exact"/>
        <w:ind w:firstLine="640" w:firstLineChars="200"/>
        <w:rPr>
          <w:rFonts w:eastAsia="仿宋_GB2312"/>
          <w:color w:val="000000"/>
          <w:kern w:val="0"/>
          <w:sz w:val="32"/>
          <w:szCs w:val="32"/>
        </w:rPr>
      </w:pPr>
      <w:r>
        <w:rPr>
          <w:rFonts w:eastAsia="仿宋_GB2312"/>
          <w:color w:val="000000"/>
          <w:kern w:val="0"/>
          <w:sz w:val="32"/>
          <w:szCs w:val="32"/>
        </w:rPr>
        <w:t>2.提交《东昆仑夏日哈木一带超基性岩体含矿性评价与找矿预测成果报告》，发表SCI论文1篇。</w:t>
      </w:r>
    </w:p>
    <w:p w14:paraId="690401AD">
      <w:pPr>
        <w:adjustRightInd w:val="0"/>
        <w:snapToGrid w:val="0"/>
        <w:spacing w:before="156" w:beforeLines="50" w:line="480" w:lineRule="exact"/>
        <w:jc w:val="left"/>
        <w:rPr>
          <w:rFonts w:eastAsia="仿宋_GB2312"/>
          <w:color w:val="000000"/>
          <w:kern w:val="0"/>
          <w:sz w:val="32"/>
          <w:szCs w:val="32"/>
        </w:rPr>
      </w:pPr>
      <w:r>
        <w:rPr>
          <w:rFonts w:eastAsia="仿宋_GB2312"/>
          <w:b/>
          <w:kern w:val="0"/>
          <w:sz w:val="32"/>
          <w:szCs w:val="32"/>
        </w:rPr>
        <w:t>提交报告时间：</w:t>
      </w:r>
      <w:r>
        <w:rPr>
          <w:rFonts w:eastAsia="仿宋_GB2312"/>
          <w:color w:val="000000"/>
          <w:kern w:val="0"/>
          <w:sz w:val="32"/>
          <w:szCs w:val="32"/>
        </w:rPr>
        <w:t>2025年12月。</w:t>
      </w:r>
    </w:p>
    <w:p w14:paraId="7F34EC03">
      <w:pPr>
        <w:adjustRightInd w:val="0"/>
        <w:snapToGrid w:val="0"/>
        <w:spacing w:before="156" w:beforeLines="50" w:line="480" w:lineRule="exact"/>
        <w:jc w:val="left"/>
        <w:rPr>
          <w:rFonts w:eastAsia="仿宋_GB2312"/>
          <w:color w:val="000000"/>
          <w:kern w:val="0"/>
          <w:sz w:val="32"/>
          <w:szCs w:val="32"/>
        </w:rPr>
      </w:pPr>
      <w:r>
        <w:rPr>
          <w:rFonts w:eastAsia="仿宋_GB2312"/>
          <w:b/>
          <w:color w:val="000000"/>
          <w:kern w:val="0"/>
          <w:sz w:val="32"/>
          <w:szCs w:val="32"/>
        </w:rPr>
        <w:t>经费预算：</w:t>
      </w:r>
      <w:r>
        <w:rPr>
          <w:rFonts w:eastAsia="仿宋_GB2312"/>
          <w:color w:val="000000"/>
          <w:kern w:val="0"/>
          <w:sz w:val="32"/>
          <w:szCs w:val="32"/>
        </w:rPr>
        <w:t>2025年度经费预算20万元。</w:t>
      </w:r>
    </w:p>
    <w:p w14:paraId="566C8849">
      <w:pPr>
        <w:adjustRightInd w:val="0"/>
        <w:snapToGrid w:val="0"/>
        <w:spacing w:before="156" w:beforeLines="50" w:line="480" w:lineRule="exact"/>
        <w:jc w:val="left"/>
        <w:rPr>
          <w:rFonts w:eastAsia="仿宋_GB2312"/>
          <w:color w:val="000000"/>
          <w:kern w:val="0"/>
          <w:sz w:val="32"/>
          <w:szCs w:val="32"/>
        </w:rPr>
      </w:pPr>
    </w:p>
    <w:p w14:paraId="21065720">
      <w:pPr>
        <w:wordWrap w:val="0"/>
        <w:adjustRightInd w:val="0"/>
        <w:snapToGrid w:val="0"/>
        <w:spacing w:line="480" w:lineRule="exact"/>
        <w:jc w:val="right"/>
        <w:rPr>
          <w:rFonts w:eastAsia="仿宋_GB2312"/>
          <w:color w:val="000000"/>
          <w:kern w:val="0"/>
          <w:sz w:val="32"/>
          <w:szCs w:val="32"/>
        </w:rPr>
      </w:pPr>
      <w:r>
        <w:rPr>
          <w:rFonts w:eastAsia="仿宋_GB2312"/>
          <w:color w:val="000000"/>
          <w:kern w:val="0"/>
          <w:sz w:val="32"/>
          <w:szCs w:val="32"/>
        </w:rPr>
        <w:t>2025年</w:t>
      </w:r>
      <w:r>
        <w:rPr>
          <w:rFonts w:hint="eastAsia" w:eastAsia="仿宋_GB2312"/>
          <w:color w:val="000000"/>
          <w:kern w:val="0"/>
          <w:sz w:val="32"/>
          <w:szCs w:val="32"/>
        </w:rPr>
        <w:t xml:space="preserve">  </w:t>
      </w:r>
      <w:r>
        <w:rPr>
          <w:rFonts w:eastAsia="仿宋_GB2312"/>
          <w:color w:val="000000"/>
          <w:kern w:val="0"/>
          <w:sz w:val="32"/>
          <w:szCs w:val="32"/>
        </w:rPr>
        <w:t>月</w:t>
      </w:r>
      <w:r>
        <w:rPr>
          <w:rFonts w:hint="eastAsia" w:eastAsia="仿宋_GB2312"/>
          <w:color w:val="000000"/>
          <w:kern w:val="0"/>
          <w:sz w:val="32"/>
          <w:szCs w:val="32"/>
        </w:rPr>
        <w:t xml:space="preserve">  </w:t>
      </w:r>
      <w:r>
        <w:rPr>
          <w:rFonts w:eastAsia="仿宋_GB2312"/>
          <w:color w:val="000000"/>
          <w:kern w:val="0"/>
          <w:sz w:val="32"/>
          <w:szCs w:val="32"/>
        </w:rPr>
        <w:t>日</w:t>
      </w:r>
    </w:p>
    <w:sectPr>
      <w:head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353FC2">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978"/>
    <w:rsid w:val="00004951"/>
    <w:rsid w:val="00004F8D"/>
    <w:rsid w:val="000168B6"/>
    <w:rsid w:val="00022F0A"/>
    <w:rsid w:val="00023D5B"/>
    <w:rsid w:val="00026A9C"/>
    <w:rsid w:val="00030646"/>
    <w:rsid w:val="000312E5"/>
    <w:rsid w:val="00036E99"/>
    <w:rsid w:val="00053893"/>
    <w:rsid w:val="00060692"/>
    <w:rsid w:val="00066A0C"/>
    <w:rsid w:val="00074EAA"/>
    <w:rsid w:val="00076898"/>
    <w:rsid w:val="00082889"/>
    <w:rsid w:val="00082FDA"/>
    <w:rsid w:val="000876C1"/>
    <w:rsid w:val="00090562"/>
    <w:rsid w:val="000907CC"/>
    <w:rsid w:val="00096B67"/>
    <w:rsid w:val="000B03C5"/>
    <w:rsid w:val="000B6030"/>
    <w:rsid w:val="000B758D"/>
    <w:rsid w:val="000C0D4F"/>
    <w:rsid w:val="000C314B"/>
    <w:rsid w:val="000C3684"/>
    <w:rsid w:val="000C7E96"/>
    <w:rsid w:val="000E0A8B"/>
    <w:rsid w:val="001221D9"/>
    <w:rsid w:val="00134E1A"/>
    <w:rsid w:val="00147031"/>
    <w:rsid w:val="00165338"/>
    <w:rsid w:val="001673C2"/>
    <w:rsid w:val="00171348"/>
    <w:rsid w:val="00171D9B"/>
    <w:rsid w:val="00173FD5"/>
    <w:rsid w:val="00176238"/>
    <w:rsid w:val="00177463"/>
    <w:rsid w:val="00177987"/>
    <w:rsid w:val="00185A16"/>
    <w:rsid w:val="00197C71"/>
    <w:rsid w:val="00197E29"/>
    <w:rsid w:val="001B6997"/>
    <w:rsid w:val="001C14F3"/>
    <w:rsid w:val="001C22FF"/>
    <w:rsid w:val="001D0348"/>
    <w:rsid w:val="001D5AEE"/>
    <w:rsid w:val="001E30B6"/>
    <w:rsid w:val="001E38B9"/>
    <w:rsid w:val="001F4132"/>
    <w:rsid w:val="001F63DC"/>
    <w:rsid w:val="002076B7"/>
    <w:rsid w:val="00220F48"/>
    <w:rsid w:val="00224E81"/>
    <w:rsid w:val="00226AEC"/>
    <w:rsid w:val="0023086B"/>
    <w:rsid w:val="00231896"/>
    <w:rsid w:val="002527DE"/>
    <w:rsid w:val="002531BD"/>
    <w:rsid w:val="00280635"/>
    <w:rsid w:val="00285687"/>
    <w:rsid w:val="00286B3D"/>
    <w:rsid w:val="002A02ED"/>
    <w:rsid w:val="002A1383"/>
    <w:rsid w:val="002B0847"/>
    <w:rsid w:val="002B0FFD"/>
    <w:rsid w:val="002C051F"/>
    <w:rsid w:val="002C4B35"/>
    <w:rsid w:val="002C76FF"/>
    <w:rsid w:val="002C7A59"/>
    <w:rsid w:val="002D28A3"/>
    <w:rsid w:val="002E002E"/>
    <w:rsid w:val="002F472F"/>
    <w:rsid w:val="00312026"/>
    <w:rsid w:val="00312954"/>
    <w:rsid w:val="00312AD1"/>
    <w:rsid w:val="0031327C"/>
    <w:rsid w:val="00313847"/>
    <w:rsid w:val="003154E6"/>
    <w:rsid w:val="00316CA3"/>
    <w:rsid w:val="00327B48"/>
    <w:rsid w:val="00336D16"/>
    <w:rsid w:val="00337507"/>
    <w:rsid w:val="00342BC8"/>
    <w:rsid w:val="00344A8C"/>
    <w:rsid w:val="00353E19"/>
    <w:rsid w:val="00357FA7"/>
    <w:rsid w:val="003662F9"/>
    <w:rsid w:val="0037798D"/>
    <w:rsid w:val="00383959"/>
    <w:rsid w:val="00390FE0"/>
    <w:rsid w:val="0039300C"/>
    <w:rsid w:val="0039332A"/>
    <w:rsid w:val="00395279"/>
    <w:rsid w:val="003973B2"/>
    <w:rsid w:val="003A38AE"/>
    <w:rsid w:val="003B125F"/>
    <w:rsid w:val="003B53A4"/>
    <w:rsid w:val="003C6444"/>
    <w:rsid w:val="003D5B22"/>
    <w:rsid w:val="003D7DA4"/>
    <w:rsid w:val="003E4F37"/>
    <w:rsid w:val="003E77FF"/>
    <w:rsid w:val="003E7B67"/>
    <w:rsid w:val="003F24E9"/>
    <w:rsid w:val="003F6771"/>
    <w:rsid w:val="00406268"/>
    <w:rsid w:val="004232A0"/>
    <w:rsid w:val="004238C3"/>
    <w:rsid w:val="00424D32"/>
    <w:rsid w:val="00427978"/>
    <w:rsid w:val="00427B9B"/>
    <w:rsid w:val="004305EF"/>
    <w:rsid w:val="004324B5"/>
    <w:rsid w:val="004332B0"/>
    <w:rsid w:val="00462267"/>
    <w:rsid w:val="0046570C"/>
    <w:rsid w:val="00465D78"/>
    <w:rsid w:val="00467B77"/>
    <w:rsid w:val="004771F2"/>
    <w:rsid w:val="0048127B"/>
    <w:rsid w:val="004830C1"/>
    <w:rsid w:val="00490546"/>
    <w:rsid w:val="00491E77"/>
    <w:rsid w:val="00494EB0"/>
    <w:rsid w:val="004A4884"/>
    <w:rsid w:val="004A656E"/>
    <w:rsid w:val="004B09A3"/>
    <w:rsid w:val="004B0ADE"/>
    <w:rsid w:val="004C6257"/>
    <w:rsid w:val="004D78E0"/>
    <w:rsid w:val="004E45A8"/>
    <w:rsid w:val="004F376B"/>
    <w:rsid w:val="004F64B5"/>
    <w:rsid w:val="00511240"/>
    <w:rsid w:val="005132FD"/>
    <w:rsid w:val="00514108"/>
    <w:rsid w:val="00516CB1"/>
    <w:rsid w:val="00521893"/>
    <w:rsid w:val="00534126"/>
    <w:rsid w:val="00547F79"/>
    <w:rsid w:val="00551B2C"/>
    <w:rsid w:val="005602FD"/>
    <w:rsid w:val="005657EA"/>
    <w:rsid w:val="0057173C"/>
    <w:rsid w:val="00576F22"/>
    <w:rsid w:val="005A1E75"/>
    <w:rsid w:val="005A57DC"/>
    <w:rsid w:val="005B17A0"/>
    <w:rsid w:val="005C16F3"/>
    <w:rsid w:val="005D540D"/>
    <w:rsid w:val="005E0092"/>
    <w:rsid w:val="005E00DF"/>
    <w:rsid w:val="005E2A77"/>
    <w:rsid w:val="005E5EB2"/>
    <w:rsid w:val="005F49D9"/>
    <w:rsid w:val="00604BA6"/>
    <w:rsid w:val="00605691"/>
    <w:rsid w:val="00605A3D"/>
    <w:rsid w:val="00605E63"/>
    <w:rsid w:val="00631D98"/>
    <w:rsid w:val="00632F82"/>
    <w:rsid w:val="0063570F"/>
    <w:rsid w:val="00644056"/>
    <w:rsid w:val="006527A1"/>
    <w:rsid w:val="00670A7F"/>
    <w:rsid w:val="00673A48"/>
    <w:rsid w:val="00674589"/>
    <w:rsid w:val="0067618C"/>
    <w:rsid w:val="00677BBC"/>
    <w:rsid w:val="00683EBB"/>
    <w:rsid w:val="00685D63"/>
    <w:rsid w:val="006A34CD"/>
    <w:rsid w:val="006B107C"/>
    <w:rsid w:val="006B41E9"/>
    <w:rsid w:val="006B590B"/>
    <w:rsid w:val="006B614D"/>
    <w:rsid w:val="006C37B2"/>
    <w:rsid w:val="006C3A37"/>
    <w:rsid w:val="006D41B9"/>
    <w:rsid w:val="006D487C"/>
    <w:rsid w:val="006E102B"/>
    <w:rsid w:val="006F2AA5"/>
    <w:rsid w:val="00705D47"/>
    <w:rsid w:val="00710898"/>
    <w:rsid w:val="007138DD"/>
    <w:rsid w:val="00714FD8"/>
    <w:rsid w:val="00716500"/>
    <w:rsid w:val="007274B8"/>
    <w:rsid w:val="007326D8"/>
    <w:rsid w:val="00737AFA"/>
    <w:rsid w:val="007401C4"/>
    <w:rsid w:val="007456CD"/>
    <w:rsid w:val="00745FFE"/>
    <w:rsid w:val="00747D1D"/>
    <w:rsid w:val="00753921"/>
    <w:rsid w:val="00756459"/>
    <w:rsid w:val="00764581"/>
    <w:rsid w:val="00765FB0"/>
    <w:rsid w:val="00782569"/>
    <w:rsid w:val="007A01C9"/>
    <w:rsid w:val="007A1600"/>
    <w:rsid w:val="007A5659"/>
    <w:rsid w:val="007B75E6"/>
    <w:rsid w:val="007C0E08"/>
    <w:rsid w:val="007C47D2"/>
    <w:rsid w:val="007E000F"/>
    <w:rsid w:val="007F2C22"/>
    <w:rsid w:val="007F55C6"/>
    <w:rsid w:val="00800420"/>
    <w:rsid w:val="00803456"/>
    <w:rsid w:val="00807FAF"/>
    <w:rsid w:val="00811A72"/>
    <w:rsid w:val="00812BC6"/>
    <w:rsid w:val="00813F17"/>
    <w:rsid w:val="00817751"/>
    <w:rsid w:val="00817D91"/>
    <w:rsid w:val="00822A8C"/>
    <w:rsid w:val="00823E7F"/>
    <w:rsid w:val="00827B77"/>
    <w:rsid w:val="00832B20"/>
    <w:rsid w:val="0083535C"/>
    <w:rsid w:val="0084249F"/>
    <w:rsid w:val="00857BCF"/>
    <w:rsid w:val="00864B23"/>
    <w:rsid w:val="0086782D"/>
    <w:rsid w:val="00875E93"/>
    <w:rsid w:val="008834A2"/>
    <w:rsid w:val="008856F0"/>
    <w:rsid w:val="00891D0D"/>
    <w:rsid w:val="008A61AB"/>
    <w:rsid w:val="008A6B50"/>
    <w:rsid w:val="008B260D"/>
    <w:rsid w:val="008C23DD"/>
    <w:rsid w:val="008C48BB"/>
    <w:rsid w:val="008C61C6"/>
    <w:rsid w:val="008C6FC6"/>
    <w:rsid w:val="008D159A"/>
    <w:rsid w:val="008D4422"/>
    <w:rsid w:val="008E160E"/>
    <w:rsid w:val="008E2730"/>
    <w:rsid w:val="008E634E"/>
    <w:rsid w:val="008E724D"/>
    <w:rsid w:val="008F3135"/>
    <w:rsid w:val="008F5C60"/>
    <w:rsid w:val="008F70D0"/>
    <w:rsid w:val="009118C0"/>
    <w:rsid w:val="00915A9C"/>
    <w:rsid w:val="00917ECF"/>
    <w:rsid w:val="0092200D"/>
    <w:rsid w:val="009231C1"/>
    <w:rsid w:val="00923599"/>
    <w:rsid w:val="00923F22"/>
    <w:rsid w:val="00927D27"/>
    <w:rsid w:val="00954E68"/>
    <w:rsid w:val="0097321F"/>
    <w:rsid w:val="00975063"/>
    <w:rsid w:val="00980AF3"/>
    <w:rsid w:val="00982B3A"/>
    <w:rsid w:val="00985794"/>
    <w:rsid w:val="009867A2"/>
    <w:rsid w:val="009872EC"/>
    <w:rsid w:val="0099083E"/>
    <w:rsid w:val="009A1A62"/>
    <w:rsid w:val="009A3020"/>
    <w:rsid w:val="009A4208"/>
    <w:rsid w:val="009A65A5"/>
    <w:rsid w:val="009B1104"/>
    <w:rsid w:val="009B17E1"/>
    <w:rsid w:val="009B725B"/>
    <w:rsid w:val="009C577E"/>
    <w:rsid w:val="009C7B25"/>
    <w:rsid w:val="009D2419"/>
    <w:rsid w:val="009D432C"/>
    <w:rsid w:val="009D4ED6"/>
    <w:rsid w:val="009D5F5A"/>
    <w:rsid w:val="009E04C8"/>
    <w:rsid w:val="009F182C"/>
    <w:rsid w:val="009F1C31"/>
    <w:rsid w:val="009F44E9"/>
    <w:rsid w:val="00A06CA7"/>
    <w:rsid w:val="00A11F45"/>
    <w:rsid w:val="00A159E6"/>
    <w:rsid w:val="00A22F23"/>
    <w:rsid w:val="00A23498"/>
    <w:rsid w:val="00A24293"/>
    <w:rsid w:val="00A24470"/>
    <w:rsid w:val="00A31F67"/>
    <w:rsid w:val="00A657DA"/>
    <w:rsid w:val="00A70A54"/>
    <w:rsid w:val="00A772A9"/>
    <w:rsid w:val="00A83DE0"/>
    <w:rsid w:val="00A90B3A"/>
    <w:rsid w:val="00A9649A"/>
    <w:rsid w:val="00AA2DF5"/>
    <w:rsid w:val="00AB3CA6"/>
    <w:rsid w:val="00AD15AA"/>
    <w:rsid w:val="00AD29B2"/>
    <w:rsid w:val="00AD5519"/>
    <w:rsid w:val="00AE0FC8"/>
    <w:rsid w:val="00AE242A"/>
    <w:rsid w:val="00AE2D91"/>
    <w:rsid w:val="00AE5E04"/>
    <w:rsid w:val="00B00610"/>
    <w:rsid w:val="00B00CF0"/>
    <w:rsid w:val="00B041A6"/>
    <w:rsid w:val="00B05E97"/>
    <w:rsid w:val="00B06D84"/>
    <w:rsid w:val="00B23A65"/>
    <w:rsid w:val="00B310BD"/>
    <w:rsid w:val="00B33E5F"/>
    <w:rsid w:val="00B35B33"/>
    <w:rsid w:val="00B42A17"/>
    <w:rsid w:val="00B47857"/>
    <w:rsid w:val="00B5197C"/>
    <w:rsid w:val="00B540A5"/>
    <w:rsid w:val="00B54D16"/>
    <w:rsid w:val="00B7538F"/>
    <w:rsid w:val="00B9406D"/>
    <w:rsid w:val="00B974A6"/>
    <w:rsid w:val="00B97940"/>
    <w:rsid w:val="00BA0C11"/>
    <w:rsid w:val="00BA24E8"/>
    <w:rsid w:val="00BB4F56"/>
    <w:rsid w:val="00BD4BE6"/>
    <w:rsid w:val="00BE0A95"/>
    <w:rsid w:val="00BE0C0E"/>
    <w:rsid w:val="00BF012F"/>
    <w:rsid w:val="00BF0782"/>
    <w:rsid w:val="00BF0FF8"/>
    <w:rsid w:val="00BF5D74"/>
    <w:rsid w:val="00C034EA"/>
    <w:rsid w:val="00C13612"/>
    <w:rsid w:val="00C302FC"/>
    <w:rsid w:val="00C32698"/>
    <w:rsid w:val="00C36E68"/>
    <w:rsid w:val="00C431E8"/>
    <w:rsid w:val="00C51F20"/>
    <w:rsid w:val="00C52330"/>
    <w:rsid w:val="00C601AF"/>
    <w:rsid w:val="00C621E6"/>
    <w:rsid w:val="00C63741"/>
    <w:rsid w:val="00C679CE"/>
    <w:rsid w:val="00C774D4"/>
    <w:rsid w:val="00C775B5"/>
    <w:rsid w:val="00C9592D"/>
    <w:rsid w:val="00C97387"/>
    <w:rsid w:val="00CA2760"/>
    <w:rsid w:val="00CB0510"/>
    <w:rsid w:val="00CC2788"/>
    <w:rsid w:val="00CC6C15"/>
    <w:rsid w:val="00CD1FB4"/>
    <w:rsid w:val="00CD565C"/>
    <w:rsid w:val="00CD6F32"/>
    <w:rsid w:val="00CE263B"/>
    <w:rsid w:val="00CE6082"/>
    <w:rsid w:val="00D13AA7"/>
    <w:rsid w:val="00D1450A"/>
    <w:rsid w:val="00D15F84"/>
    <w:rsid w:val="00D230FD"/>
    <w:rsid w:val="00D27B01"/>
    <w:rsid w:val="00D31018"/>
    <w:rsid w:val="00D32B9B"/>
    <w:rsid w:val="00D349B1"/>
    <w:rsid w:val="00D34CF6"/>
    <w:rsid w:val="00D37B32"/>
    <w:rsid w:val="00D516C6"/>
    <w:rsid w:val="00D609FF"/>
    <w:rsid w:val="00D6352C"/>
    <w:rsid w:val="00D64985"/>
    <w:rsid w:val="00D72ECE"/>
    <w:rsid w:val="00D87780"/>
    <w:rsid w:val="00D909FA"/>
    <w:rsid w:val="00DA0B90"/>
    <w:rsid w:val="00DA4814"/>
    <w:rsid w:val="00DA6EF5"/>
    <w:rsid w:val="00DB1800"/>
    <w:rsid w:val="00DB4847"/>
    <w:rsid w:val="00DB4919"/>
    <w:rsid w:val="00DD0305"/>
    <w:rsid w:val="00DD5300"/>
    <w:rsid w:val="00DD5C12"/>
    <w:rsid w:val="00DD610A"/>
    <w:rsid w:val="00DD7A2C"/>
    <w:rsid w:val="00DE0F02"/>
    <w:rsid w:val="00DE402E"/>
    <w:rsid w:val="00DF0279"/>
    <w:rsid w:val="00DF3470"/>
    <w:rsid w:val="00E0609D"/>
    <w:rsid w:val="00E20042"/>
    <w:rsid w:val="00E3607D"/>
    <w:rsid w:val="00E44732"/>
    <w:rsid w:val="00E54F14"/>
    <w:rsid w:val="00E620E4"/>
    <w:rsid w:val="00E647D5"/>
    <w:rsid w:val="00E716D9"/>
    <w:rsid w:val="00E80E36"/>
    <w:rsid w:val="00E955D4"/>
    <w:rsid w:val="00E97C97"/>
    <w:rsid w:val="00EA624F"/>
    <w:rsid w:val="00EB244D"/>
    <w:rsid w:val="00EB673D"/>
    <w:rsid w:val="00EB774D"/>
    <w:rsid w:val="00EC1D06"/>
    <w:rsid w:val="00EE4EE3"/>
    <w:rsid w:val="00EE5C4A"/>
    <w:rsid w:val="00F12470"/>
    <w:rsid w:val="00F158C5"/>
    <w:rsid w:val="00F22475"/>
    <w:rsid w:val="00F30C4D"/>
    <w:rsid w:val="00F337DC"/>
    <w:rsid w:val="00F357C4"/>
    <w:rsid w:val="00F405C1"/>
    <w:rsid w:val="00F45E9F"/>
    <w:rsid w:val="00F50341"/>
    <w:rsid w:val="00F50CB7"/>
    <w:rsid w:val="00F546AC"/>
    <w:rsid w:val="00F57B47"/>
    <w:rsid w:val="00F717CC"/>
    <w:rsid w:val="00F91282"/>
    <w:rsid w:val="00FA07A6"/>
    <w:rsid w:val="00FA13D1"/>
    <w:rsid w:val="00FA5E1A"/>
    <w:rsid w:val="00FB19AE"/>
    <w:rsid w:val="00FB3AF6"/>
    <w:rsid w:val="00FB4C04"/>
    <w:rsid w:val="00FC0C88"/>
    <w:rsid w:val="00FC5646"/>
    <w:rsid w:val="00FD0183"/>
    <w:rsid w:val="00FD2A87"/>
    <w:rsid w:val="00FE4E37"/>
    <w:rsid w:val="00FF438B"/>
    <w:rsid w:val="00FF66E1"/>
    <w:rsid w:val="133746B8"/>
    <w:rsid w:val="210B0AA2"/>
    <w:rsid w:val="34F8154B"/>
    <w:rsid w:val="52556958"/>
    <w:rsid w:val="52E50D16"/>
    <w:rsid w:val="56F03792"/>
    <w:rsid w:val="6FA979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name="header"/>
    <w:lsdException w:qFormat="1"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2">
    <w:name w:val="heading 2"/>
    <w:basedOn w:val="1"/>
    <w:next w:val="1"/>
    <w:link w:val="24"/>
    <w:unhideWhenUsed/>
    <w:qFormat/>
    <w:uiPriority w:val="9"/>
    <w:pPr>
      <w:keepNext/>
      <w:keepLines/>
      <w:spacing w:before="260" w:after="260" w:line="416" w:lineRule="auto"/>
      <w:outlineLvl w:val="1"/>
    </w:pPr>
    <w:rPr>
      <w:rFonts w:ascii="Cambria" w:hAnsi="Cambria"/>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semiHidden/>
    <w:qFormat/>
    <w:uiPriority w:val="0"/>
    <w:pPr>
      <w:shd w:val="clear" w:color="auto" w:fill="000080"/>
    </w:pPr>
  </w:style>
  <w:style w:type="paragraph" w:styleId="4">
    <w:name w:val="annotation text"/>
    <w:basedOn w:val="1"/>
    <w:link w:val="25"/>
    <w:semiHidden/>
    <w:unhideWhenUsed/>
    <w:qFormat/>
    <w:uiPriority w:val="99"/>
    <w:pPr>
      <w:jc w:val="left"/>
    </w:pPr>
  </w:style>
  <w:style w:type="paragraph" w:styleId="5">
    <w:name w:val="Body Text Indent"/>
    <w:basedOn w:val="1"/>
    <w:link w:val="28"/>
    <w:unhideWhenUsed/>
    <w:qFormat/>
    <w:uiPriority w:val="0"/>
    <w:pPr>
      <w:spacing w:after="120"/>
      <w:ind w:left="420" w:leftChars="200" w:firstLine="200" w:firstLineChars="200"/>
    </w:pPr>
    <w:rPr>
      <w:rFonts w:ascii="Calibri" w:hAnsi="Calibri" w:eastAsia="仿宋_GB2312"/>
      <w:sz w:val="32"/>
      <w:szCs w:val="22"/>
    </w:rPr>
  </w:style>
  <w:style w:type="paragraph" w:styleId="6">
    <w:name w:val="Date"/>
    <w:basedOn w:val="1"/>
    <w:next w:val="1"/>
    <w:semiHidden/>
    <w:qFormat/>
    <w:uiPriority w:val="0"/>
    <w:pPr>
      <w:ind w:left="100" w:leftChars="2500"/>
    </w:pPr>
    <w:rPr>
      <w:rFonts w:ascii="仿宋_GB2312" w:hAnsi="宋体" w:eastAsia="仿宋_GB2312"/>
      <w:sz w:val="32"/>
    </w:rPr>
  </w:style>
  <w:style w:type="paragraph" w:styleId="7">
    <w:name w:val="Balloon Text"/>
    <w:basedOn w:val="1"/>
    <w:link w:val="19"/>
    <w:semiHidden/>
    <w:unhideWhenUsed/>
    <w:qFormat/>
    <w:uiPriority w:val="99"/>
    <w:rPr>
      <w:sz w:val="18"/>
      <w:szCs w:val="18"/>
    </w:rPr>
  </w:style>
  <w:style w:type="paragraph" w:styleId="8">
    <w:name w:val="footer"/>
    <w:basedOn w:val="1"/>
    <w:semiHidden/>
    <w:qFormat/>
    <w:uiPriority w:val="0"/>
    <w:pPr>
      <w:tabs>
        <w:tab w:val="center" w:pos="4153"/>
        <w:tab w:val="right" w:pos="8306"/>
      </w:tabs>
      <w:snapToGrid w:val="0"/>
      <w:jc w:val="left"/>
    </w:pPr>
    <w:rPr>
      <w:sz w:val="18"/>
      <w:szCs w:val="18"/>
    </w:rPr>
  </w:style>
  <w:style w:type="paragraph" w:styleId="9">
    <w:name w:val="header"/>
    <w:basedOn w:val="1"/>
    <w:semiHidden/>
    <w:qFormat/>
    <w:uiPriority w:val="0"/>
    <w:pPr>
      <w:pBdr>
        <w:bottom w:val="single" w:color="auto" w:sz="6" w:space="1"/>
      </w:pBdr>
      <w:tabs>
        <w:tab w:val="center" w:pos="4153"/>
        <w:tab w:val="right" w:pos="8306"/>
      </w:tabs>
      <w:snapToGrid w:val="0"/>
      <w:jc w:val="center"/>
    </w:pPr>
    <w:rPr>
      <w:sz w:val="18"/>
    </w:rPr>
  </w:style>
  <w:style w:type="paragraph" w:styleId="10">
    <w:name w:val="annotation subject"/>
    <w:basedOn w:val="4"/>
    <w:next w:val="4"/>
    <w:link w:val="26"/>
    <w:semiHidden/>
    <w:unhideWhenUsed/>
    <w:qFormat/>
    <w:uiPriority w:val="99"/>
    <w:rPr>
      <w:b/>
      <w:bCs/>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semiHidden/>
    <w:qFormat/>
    <w:uiPriority w:val="0"/>
  </w:style>
  <w:style w:type="character" w:styleId="15">
    <w:name w:val="annotation reference"/>
    <w:basedOn w:val="13"/>
    <w:semiHidden/>
    <w:unhideWhenUsed/>
    <w:qFormat/>
    <w:uiPriority w:val="99"/>
    <w:rPr>
      <w:sz w:val="21"/>
      <w:szCs w:val="21"/>
    </w:rPr>
  </w:style>
  <w:style w:type="paragraph" w:customStyle="1" w:styleId="16">
    <w:name w:val="默认段落字体 Para Char"/>
    <w:basedOn w:val="1"/>
    <w:qFormat/>
    <w:uiPriority w:val="0"/>
  </w:style>
  <w:style w:type="paragraph" w:customStyle="1" w:styleId="17">
    <w:name w:val="Char Char Char Char"/>
    <w:basedOn w:val="1"/>
    <w:next w:val="1"/>
    <w:qFormat/>
    <w:uiPriority w:val="0"/>
    <w:pPr>
      <w:spacing w:line="360" w:lineRule="auto"/>
      <w:ind w:firstLine="420" w:firstLineChars="200"/>
    </w:pPr>
    <w:rPr>
      <w:rFonts w:eastAsia="仿宋_GB2312"/>
      <w:sz w:val="24"/>
    </w:rPr>
  </w:style>
  <w:style w:type="character" w:styleId="18">
    <w:name w:val="Placeholder Text"/>
    <w:basedOn w:val="13"/>
    <w:semiHidden/>
    <w:qFormat/>
    <w:uiPriority w:val="99"/>
    <w:rPr>
      <w:color w:val="808080"/>
    </w:rPr>
  </w:style>
  <w:style w:type="character" w:customStyle="1" w:styleId="19">
    <w:name w:val="批注框文本 Char"/>
    <w:basedOn w:val="13"/>
    <w:link w:val="7"/>
    <w:semiHidden/>
    <w:qFormat/>
    <w:uiPriority w:val="99"/>
    <w:rPr>
      <w:kern w:val="2"/>
      <w:sz w:val="18"/>
      <w:szCs w:val="18"/>
    </w:rPr>
  </w:style>
  <w:style w:type="character" w:customStyle="1" w:styleId="20">
    <w:name w:val="样式1"/>
    <w:basedOn w:val="13"/>
    <w:qFormat/>
    <w:uiPriority w:val="1"/>
    <w:rPr>
      <w:rFonts w:eastAsia="仿宋_GB2312"/>
      <w:sz w:val="32"/>
    </w:rPr>
  </w:style>
  <w:style w:type="character" w:customStyle="1" w:styleId="21">
    <w:name w:val="样式2"/>
    <w:basedOn w:val="13"/>
    <w:qFormat/>
    <w:uiPriority w:val="1"/>
    <w:rPr>
      <w:b/>
    </w:rPr>
  </w:style>
  <w:style w:type="character" w:customStyle="1" w:styleId="22">
    <w:name w:val="样式3"/>
    <w:basedOn w:val="13"/>
    <w:qFormat/>
    <w:uiPriority w:val="1"/>
    <w:rPr>
      <w:rFonts w:eastAsia="仿宋_GB2312"/>
      <w:b/>
    </w:rPr>
  </w:style>
  <w:style w:type="character" w:customStyle="1" w:styleId="23">
    <w:name w:val="样式4"/>
    <w:basedOn w:val="13"/>
    <w:qFormat/>
    <w:uiPriority w:val="1"/>
    <w:rPr>
      <w:rFonts w:eastAsia="仿宋_GB2312"/>
      <w:b/>
      <w:sz w:val="32"/>
    </w:rPr>
  </w:style>
  <w:style w:type="character" w:customStyle="1" w:styleId="24">
    <w:name w:val="标题 2 Char"/>
    <w:basedOn w:val="13"/>
    <w:link w:val="2"/>
    <w:qFormat/>
    <w:uiPriority w:val="9"/>
    <w:rPr>
      <w:rFonts w:ascii="Cambria" w:hAnsi="Cambria" w:eastAsia="宋体" w:cs="Times New Roman"/>
      <w:b/>
      <w:bCs/>
      <w:kern w:val="2"/>
      <w:sz w:val="32"/>
      <w:szCs w:val="32"/>
    </w:rPr>
  </w:style>
  <w:style w:type="character" w:customStyle="1" w:styleId="25">
    <w:name w:val="批注文字 Char"/>
    <w:basedOn w:val="13"/>
    <w:link w:val="4"/>
    <w:semiHidden/>
    <w:qFormat/>
    <w:uiPriority w:val="99"/>
    <w:rPr>
      <w:kern w:val="2"/>
      <w:sz w:val="28"/>
      <w:szCs w:val="24"/>
    </w:rPr>
  </w:style>
  <w:style w:type="character" w:customStyle="1" w:styleId="26">
    <w:name w:val="批注主题 Char"/>
    <w:basedOn w:val="25"/>
    <w:link w:val="10"/>
    <w:semiHidden/>
    <w:qFormat/>
    <w:uiPriority w:val="99"/>
    <w:rPr>
      <w:b/>
      <w:bCs/>
      <w:kern w:val="2"/>
      <w:sz w:val="28"/>
      <w:szCs w:val="24"/>
    </w:rPr>
  </w:style>
  <w:style w:type="paragraph" w:customStyle="1" w:styleId="27">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character" w:customStyle="1" w:styleId="28">
    <w:name w:val="正文文本缩进 Char"/>
    <w:basedOn w:val="13"/>
    <w:link w:val="5"/>
    <w:qFormat/>
    <w:uiPriority w:val="0"/>
    <w:rPr>
      <w:rFonts w:ascii="Calibri" w:hAnsi="Calibri" w:eastAsia="仿宋_GB2312"/>
      <w:kern w:val="2"/>
      <w:sz w:val="32"/>
      <w:szCs w:val="22"/>
    </w:rPr>
  </w:style>
  <w:style w:type="paragraph" w:styleId="2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D622D71-1C3D-4848-95FF-275D3D4E4A7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337</Words>
  <Characters>372</Characters>
  <Lines>3</Lines>
  <Paragraphs>1</Paragraphs>
  <TotalTime>0</TotalTime>
  <ScaleCrop>false</ScaleCrop>
  <LinksUpToDate>false</LinksUpToDate>
  <CharactersWithSpaces>376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2025-05-09T03:48:00Z</dcterms:created>
  <dc:creator>西北项目办</dc:creator>
  <cp:lastModifiedBy>溪西</cp:lastModifiedBy>
  <cp:lastPrinted>2018-11-08T00:42:00Z</cp:lastPrinted>
  <dcterms:modified xsi:type="dcterms:W3CDTF">2025-05-09T07:20:42Z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eyJoZGlkIjoiMzNhOWRjNWI0Y2RmNTAwNThmNzk3YTNhYTFjMTE1YjciLCJ1c2VySWQiOiI1ODkzMTg1NTEifQ==</vt:lpwstr>
  </property>
  <property fmtid="{D5CDD505-2E9C-101B-9397-08002B2CF9AE}" pid="4" name="ICV">
    <vt:lpwstr>23B6AAA513E6486EB7298E3F012C5173_12</vt:lpwstr>
  </property>
</Properties>
</file>