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746" w:rsidRPr="004E27D2" w:rsidRDefault="00B526CE" w:rsidP="004E27D2">
      <w:pPr>
        <w:jc w:val="center"/>
        <w:rPr>
          <w:rFonts w:ascii="黑体" w:eastAsia="黑体" w:hAnsi="黑体"/>
          <w:b/>
          <w:sz w:val="44"/>
          <w:szCs w:val="44"/>
        </w:rPr>
      </w:pPr>
      <w:r w:rsidRPr="004E27D2">
        <w:rPr>
          <w:rFonts w:ascii="黑体" w:eastAsia="黑体" w:hAnsi="黑体" w:hint="eastAsia"/>
          <w:b/>
          <w:sz w:val="44"/>
          <w:szCs w:val="44"/>
        </w:rPr>
        <w:t>委托业务任务书</w:t>
      </w:r>
    </w:p>
    <w:p w:rsidR="00C93746" w:rsidRPr="004E27D2" w:rsidRDefault="00B526CE" w:rsidP="004E27D2">
      <w:pPr>
        <w:jc w:val="center"/>
        <w:rPr>
          <w:rFonts w:eastAsia="仿宋_GB2312"/>
          <w:b/>
          <w:sz w:val="30"/>
          <w:szCs w:val="30"/>
        </w:rPr>
      </w:pPr>
      <w:r w:rsidRPr="004E27D2">
        <w:rPr>
          <w:rFonts w:eastAsia="仿宋_GB2312"/>
          <w:b/>
          <w:sz w:val="30"/>
          <w:szCs w:val="30"/>
        </w:rPr>
        <w:t>编号：</w:t>
      </w:r>
      <w:r w:rsidRPr="004E27D2">
        <w:rPr>
          <w:rFonts w:eastAsia="仿宋_GB2312"/>
          <w:b/>
          <w:sz w:val="30"/>
          <w:szCs w:val="30"/>
        </w:rPr>
        <w:t>[2021]</w:t>
      </w:r>
      <w:r w:rsidRPr="004E27D2">
        <w:rPr>
          <w:rFonts w:eastAsia="仿宋_GB2312"/>
          <w:b/>
          <w:sz w:val="30"/>
          <w:szCs w:val="30"/>
        </w:rPr>
        <w:t>西地委</w:t>
      </w:r>
      <w:r w:rsidRPr="004E27D2">
        <w:rPr>
          <w:rFonts w:eastAsia="仿宋_GB2312"/>
          <w:b/>
          <w:sz w:val="30"/>
          <w:szCs w:val="30"/>
        </w:rPr>
        <w:t>1-09</w:t>
      </w:r>
    </w:p>
    <w:tbl>
      <w:tblPr>
        <w:tblW w:w="8417" w:type="dxa"/>
        <w:jc w:val="center"/>
        <w:tblInd w:w="619" w:type="dxa"/>
        <w:tblLayout w:type="fixed"/>
        <w:tblLook w:val="04A0"/>
      </w:tblPr>
      <w:tblGrid>
        <w:gridCol w:w="2466"/>
        <w:gridCol w:w="5951"/>
      </w:tblGrid>
      <w:tr w:rsidR="00C93746" w:rsidTr="00AA1737">
        <w:trPr>
          <w:trHeight w:val="492"/>
          <w:jc w:val="center"/>
        </w:trPr>
        <w:tc>
          <w:tcPr>
            <w:tcW w:w="2466" w:type="dxa"/>
            <w:vAlign w:val="center"/>
          </w:tcPr>
          <w:p w:rsidR="00C93746" w:rsidRDefault="00B526CE" w:rsidP="00AA1737">
            <w:pPr>
              <w:adjustRightInd w:val="0"/>
              <w:snapToGrid w:val="0"/>
              <w:spacing w:line="520" w:lineRule="exact"/>
              <w:rPr>
                <w:rFonts w:eastAsia="仿宋_GB2312"/>
                <w:b/>
                <w:color w:val="000000"/>
                <w:kern w:val="0"/>
                <w:sz w:val="32"/>
                <w:szCs w:val="32"/>
              </w:rPr>
            </w:pPr>
            <w:r>
              <w:rPr>
                <w:rFonts w:eastAsia="仿宋_GB2312"/>
                <w:b/>
                <w:color w:val="000000"/>
                <w:kern w:val="0"/>
                <w:sz w:val="32"/>
                <w:szCs w:val="32"/>
              </w:rPr>
              <w:t>委托</w:t>
            </w:r>
            <w:r>
              <w:rPr>
                <w:rFonts w:eastAsia="仿宋_GB2312" w:hint="eastAsia"/>
                <w:b/>
                <w:color w:val="000000"/>
                <w:kern w:val="0"/>
                <w:sz w:val="32"/>
                <w:szCs w:val="32"/>
              </w:rPr>
              <w:t>业务</w:t>
            </w:r>
            <w:r>
              <w:rPr>
                <w:rFonts w:eastAsia="仿宋_GB2312"/>
                <w:b/>
                <w:color w:val="000000"/>
                <w:kern w:val="0"/>
                <w:sz w:val="32"/>
                <w:szCs w:val="32"/>
              </w:rPr>
              <w:t>名称：</w:t>
            </w:r>
          </w:p>
        </w:tc>
        <w:tc>
          <w:tcPr>
            <w:tcW w:w="5951" w:type="dxa"/>
          </w:tcPr>
          <w:p w:rsidR="00C93746" w:rsidRDefault="00B526CE" w:rsidP="00AA1737">
            <w:pPr>
              <w:adjustRightInd w:val="0"/>
              <w:snapToGrid w:val="0"/>
              <w:spacing w:line="520" w:lineRule="exact"/>
              <w:jc w:val="left"/>
              <w:rPr>
                <w:rFonts w:eastAsia="仿宋_GB2312"/>
                <w:b/>
                <w:color w:val="000000"/>
                <w:kern w:val="0"/>
                <w:sz w:val="32"/>
                <w:szCs w:val="32"/>
              </w:rPr>
            </w:pPr>
            <w:r>
              <w:rPr>
                <w:rFonts w:eastAsia="仿宋_GB2312" w:hint="eastAsia"/>
                <w:bCs/>
                <w:color w:val="000000"/>
                <w:kern w:val="0"/>
                <w:sz w:val="32"/>
                <w:szCs w:val="32"/>
              </w:rPr>
              <w:t>西北地区土壤涵养剂应用区域生态环境效应示范研究与动态监测</w:t>
            </w:r>
          </w:p>
        </w:tc>
      </w:tr>
      <w:tr w:rsidR="00C93746" w:rsidTr="00AA1737">
        <w:trPr>
          <w:trHeight w:val="492"/>
          <w:jc w:val="center"/>
        </w:trPr>
        <w:tc>
          <w:tcPr>
            <w:tcW w:w="2466" w:type="dxa"/>
          </w:tcPr>
          <w:p w:rsidR="00C93746" w:rsidRDefault="00B526CE" w:rsidP="00AA1737">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工作起止年限：</w:t>
            </w:r>
          </w:p>
        </w:tc>
        <w:tc>
          <w:tcPr>
            <w:tcW w:w="5951" w:type="dxa"/>
          </w:tcPr>
          <w:p w:rsidR="00C93746" w:rsidRDefault="00B526CE" w:rsidP="00AA1737">
            <w:pPr>
              <w:adjustRightInd w:val="0"/>
              <w:snapToGrid w:val="0"/>
              <w:spacing w:line="520" w:lineRule="exact"/>
              <w:jc w:val="left"/>
              <w:rPr>
                <w:rFonts w:eastAsia="仿宋_GB2312"/>
                <w:b/>
                <w:color w:val="000000"/>
                <w:kern w:val="0"/>
                <w:sz w:val="32"/>
                <w:szCs w:val="32"/>
              </w:rPr>
            </w:pPr>
            <w:r>
              <w:rPr>
                <w:rFonts w:eastAsia="仿宋_GB2312" w:hint="eastAsia"/>
                <w:color w:val="000000"/>
                <w:kern w:val="0"/>
                <w:sz w:val="32"/>
                <w:szCs w:val="32"/>
              </w:rPr>
              <w:t>2021</w:t>
            </w:r>
            <w:r>
              <w:rPr>
                <w:rFonts w:eastAsia="仿宋_GB2312"/>
                <w:color w:val="000000"/>
                <w:kern w:val="0"/>
                <w:sz w:val="32"/>
                <w:szCs w:val="32"/>
              </w:rPr>
              <w:t>年</w:t>
            </w:r>
            <w:r>
              <w:rPr>
                <w:rFonts w:eastAsia="仿宋_GB2312" w:hint="eastAsia"/>
                <w:color w:val="000000"/>
                <w:kern w:val="0"/>
                <w:sz w:val="32"/>
                <w:szCs w:val="32"/>
              </w:rPr>
              <w:t>5</w:t>
            </w:r>
            <w:r>
              <w:rPr>
                <w:rFonts w:eastAsia="仿宋_GB2312" w:hint="eastAsia"/>
                <w:color w:val="000000"/>
                <w:kern w:val="0"/>
                <w:sz w:val="32"/>
                <w:szCs w:val="32"/>
              </w:rPr>
              <w:t>月—</w:t>
            </w:r>
            <w:r>
              <w:rPr>
                <w:rFonts w:eastAsia="仿宋_GB2312" w:hint="eastAsia"/>
                <w:color w:val="000000"/>
                <w:kern w:val="0"/>
                <w:sz w:val="32"/>
                <w:szCs w:val="32"/>
              </w:rPr>
              <w:t>2023</w:t>
            </w:r>
            <w:r>
              <w:rPr>
                <w:rFonts w:eastAsia="仿宋_GB2312"/>
                <w:color w:val="000000"/>
                <w:kern w:val="0"/>
                <w:sz w:val="32"/>
                <w:szCs w:val="32"/>
              </w:rPr>
              <w:t>年</w:t>
            </w:r>
            <w:r>
              <w:rPr>
                <w:rFonts w:eastAsia="仿宋_GB2312" w:hint="eastAsia"/>
                <w:color w:val="000000"/>
                <w:kern w:val="0"/>
                <w:sz w:val="32"/>
                <w:szCs w:val="32"/>
              </w:rPr>
              <w:t>5</w:t>
            </w:r>
            <w:r>
              <w:rPr>
                <w:rFonts w:eastAsia="仿宋_GB2312" w:hint="eastAsia"/>
                <w:color w:val="000000"/>
                <w:kern w:val="0"/>
                <w:sz w:val="32"/>
                <w:szCs w:val="32"/>
              </w:rPr>
              <w:t>月</w:t>
            </w:r>
          </w:p>
        </w:tc>
      </w:tr>
      <w:tr w:rsidR="00C93746" w:rsidTr="00AA1737">
        <w:trPr>
          <w:trHeight w:val="492"/>
          <w:jc w:val="center"/>
        </w:trPr>
        <w:tc>
          <w:tcPr>
            <w:tcW w:w="2466" w:type="dxa"/>
          </w:tcPr>
          <w:p w:rsidR="00C93746" w:rsidRDefault="00B526CE" w:rsidP="00AA1737">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所属二级项目：</w:t>
            </w:r>
          </w:p>
        </w:tc>
        <w:tc>
          <w:tcPr>
            <w:tcW w:w="5951" w:type="dxa"/>
          </w:tcPr>
          <w:p w:rsidR="00C93746" w:rsidRDefault="00B526CE" w:rsidP="00AA1737">
            <w:pPr>
              <w:adjustRightInd w:val="0"/>
              <w:snapToGrid w:val="0"/>
              <w:spacing w:line="520" w:lineRule="exact"/>
              <w:jc w:val="left"/>
              <w:rPr>
                <w:rFonts w:eastAsia="仿宋_GB2312"/>
                <w:b/>
                <w:color w:val="000000"/>
                <w:kern w:val="0"/>
                <w:sz w:val="32"/>
                <w:szCs w:val="32"/>
              </w:rPr>
            </w:pPr>
            <w:r>
              <w:rPr>
                <w:rFonts w:eastAsia="仿宋_GB2312" w:hint="eastAsia"/>
                <w:color w:val="000000"/>
                <w:kern w:val="0"/>
                <w:sz w:val="32"/>
                <w:szCs w:val="32"/>
              </w:rPr>
              <w:t>西北地区自然资源动态监</w:t>
            </w:r>
            <w:bookmarkStart w:id="0" w:name="_GoBack"/>
            <w:bookmarkEnd w:id="0"/>
            <w:r>
              <w:rPr>
                <w:rFonts w:eastAsia="仿宋_GB2312" w:hint="eastAsia"/>
                <w:color w:val="000000"/>
                <w:kern w:val="0"/>
                <w:sz w:val="32"/>
                <w:szCs w:val="32"/>
              </w:rPr>
              <w:t>测与风险评估</w:t>
            </w:r>
          </w:p>
        </w:tc>
      </w:tr>
      <w:tr w:rsidR="00C93746" w:rsidTr="00AA1737">
        <w:trPr>
          <w:trHeight w:val="492"/>
          <w:jc w:val="center"/>
        </w:trPr>
        <w:tc>
          <w:tcPr>
            <w:tcW w:w="2466" w:type="dxa"/>
          </w:tcPr>
          <w:p w:rsidR="00C93746" w:rsidRDefault="00B526CE" w:rsidP="00AA1737">
            <w:pPr>
              <w:adjustRightInd w:val="0"/>
              <w:snapToGrid w:val="0"/>
              <w:spacing w:line="520" w:lineRule="exact"/>
              <w:ind w:right="160"/>
              <w:rPr>
                <w:rFonts w:eastAsia="仿宋_GB2312"/>
                <w:b/>
                <w:color w:val="000000"/>
                <w:kern w:val="0"/>
                <w:sz w:val="32"/>
                <w:szCs w:val="32"/>
              </w:rPr>
            </w:pPr>
            <w:r>
              <w:rPr>
                <w:rFonts w:eastAsia="仿宋_GB2312" w:hint="eastAsia"/>
                <w:b/>
                <w:color w:val="000000"/>
                <w:kern w:val="0"/>
                <w:sz w:val="32"/>
                <w:szCs w:val="32"/>
              </w:rPr>
              <w:t>类</w:t>
            </w:r>
            <w:r>
              <w:rPr>
                <w:rFonts w:eastAsia="仿宋_GB2312" w:hint="eastAsia"/>
                <w:b/>
                <w:color w:val="000000"/>
                <w:kern w:val="0"/>
                <w:sz w:val="32"/>
                <w:szCs w:val="32"/>
              </w:rPr>
              <w:t xml:space="preserve">     </w:t>
            </w:r>
            <w:r w:rsidR="00AA1737">
              <w:rPr>
                <w:rFonts w:eastAsia="仿宋_GB2312" w:hint="eastAsia"/>
                <w:b/>
                <w:color w:val="000000"/>
                <w:kern w:val="0"/>
                <w:sz w:val="32"/>
                <w:szCs w:val="32"/>
              </w:rPr>
              <w:t xml:space="preserve">   </w:t>
            </w:r>
            <w:r>
              <w:rPr>
                <w:rFonts w:eastAsia="仿宋_GB2312" w:hint="eastAsia"/>
                <w:b/>
                <w:color w:val="000000"/>
                <w:kern w:val="0"/>
                <w:sz w:val="32"/>
                <w:szCs w:val="32"/>
              </w:rPr>
              <w:t>型：</w:t>
            </w:r>
          </w:p>
        </w:tc>
        <w:tc>
          <w:tcPr>
            <w:tcW w:w="5951" w:type="dxa"/>
          </w:tcPr>
          <w:p w:rsidR="00C93746" w:rsidRDefault="00B526CE" w:rsidP="00AA1737">
            <w:pPr>
              <w:adjustRightInd w:val="0"/>
              <w:snapToGrid w:val="0"/>
              <w:spacing w:line="520" w:lineRule="exact"/>
              <w:jc w:val="left"/>
              <w:rPr>
                <w:rFonts w:eastAsia="仿宋_GB2312"/>
                <w:color w:val="000000"/>
                <w:kern w:val="0"/>
                <w:sz w:val="32"/>
                <w:szCs w:val="32"/>
              </w:rPr>
            </w:pPr>
            <w:r>
              <w:rPr>
                <w:rFonts w:eastAsia="仿宋_GB2312" w:hint="eastAsia"/>
                <w:color w:val="000000"/>
                <w:kern w:val="0"/>
                <w:sz w:val="32"/>
                <w:szCs w:val="32"/>
              </w:rPr>
              <w:t>新开评审委托</w:t>
            </w:r>
          </w:p>
        </w:tc>
      </w:tr>
      <w:tr w:rsidR="00C93746" w:rsidTr="00AA1737">
        <w:trPr>
          <w:trHeight w:val="492"/>
          <w:jc w:val="center"/>
        </w:trPr>
        <w:tc>
          <w:tcPr>
            <w:tcW w:w="2466" w:type="dxa"/>
          </w:tcPr>
          <w:p w:rsidR="00C93746" w:rsidRDefault="00B526CE" w:rsidP="00AA1737">
            <w:pPr>
              <w:adjustRightInd w:val="0"/>
              <w:snapToGrid w:val="0"/>
              <w:spacing w:line="520" w:lineRule="exact"/>
              <w:rPr>
                <w:rFonts w:eastAsia="仿宋_GB2312"/>
                <w:b/>
                <w:color w:val="000000"/>
                <w:spacing w:val="10"/>
                <w:kern w:val="0"/>
                <w:sz w:val="32"/>
                <w:szCs w:val="32"/>
              </w:rPr>
            </w:pPr>
            <w:r>
              <w:rPr>
                <w:rFonts w:eastAsia="仿宋_GB2312" w:hint="eastAsia"/>
                <w:b/>
                <w:color w:val="000000"/>
                <w:spacing w:val="10"/>
                <w:kern w:val="0"/>
                <w:sz w:val="32"/>
                <w:szCs w:val="32"/>
              </w:rPr>
              <w:t>外</w:t>
            </w:r>
            <w:r>
              <w:rPr>
                <w:rFonts w:eastAsia="仿宋_GB2312" w:hint="eastAsia"/>
                <w:b/>
                <w:color w:val="000000"/>
                <w:spacing w:val="10"/>
                <w:kern w:val="0"/>
                <w:sz w:val="32"/>
                <w:szCs w:val="32"/>
              </w:rPr>
              <w:t xml:space="preserve"> </w:t>
            </w:r>
            <w:r>
              <w:rPr>
                <w:rFonts w:eastAsia="仿宋_GB2312" w:hint="eastAsia"/>
                <w:b/>
                <w:color w:val="000000"/>
                <w:spacing w:val="10"/>
                <w:kern w:val="0"/>
                <w:sz w:val="32"/>
                <w:szCs w:val="32"/>
              </w:rPr>
              <w:t>协</w:t>
            </w:r>
            <w:r>
              <w:rPr>
                <w:rFonts w:eastAsia="仿宋_GB2312" w:hint="eastAsia"/>
                <w:b/>
                <w:color w:val="000000"/>
                <w:spacing w:val="10"/>
                <w:kern w:val="0"/>
                <w:sz w:val="32"/>
                <w:szCs w:val="32"/>
              </w:rPr>
              <w:t xml:space="preserve"> </w:t>
            </w:r>
            <w:r>
              <w:rPr>
                <w:rFonts w:eastAsia="仿宋_GB2312"/>
                <w:b/>
                <w:color w:val="000000"/>
                <w:spacing w:val="10"/>
                <w:kern w:val="0"/>
                <w:sz w:val="32"/>
                <w:szCs w:val="32"/>
              </w:rPr>
              <w:t>单</w:t>
            </w:r>
            <w:r>
              <w:rPr>
                <w:rFonts w:eastAsia="仿宋_GB2312" w:hint="eastAsia"/>
                <w:b/>
                <w:color w:val="000000"/>
                <w:spacing w:val="10"/>
                <w:kern w:val="0"/>
                <w:sz w:val="32"/>
                <w:szCs w:val="32"/>
              </w:rPr>
              <w:t xml:space="preserve"> </w:t>
            </w:r>
            <w:r>
              <w:rPr>
                <w:rFonts w:eastAsia="仿宋_GB2312"/>
                <w:b/>
                <w:color w:val="000000"/>
                <w:spacing w:val="10"/>
                <w:kern w:val="0"/>
                <w:sz w:val="32"/>
                <w:szCs w:val="32"/>
              </w:rPr>
              <w:t>位：</w:t>
            </w:r>
          </w:p>
        </w:tc>
        <w:tc>
          <w:tcPr>
            <w:tcW w:w="5951" w:type="dxa"/>
          </w:tcPr>
          <w:p w:rsidR="00C93746" w:rsidRDefault="00C93746" w:rsidP="00AA1737">
            <w:pPr>
              <w:adjustRightInd w:val="0"/>
              <w:snapToGrid w:val="0"/>
              <w:spacing w:line="520" w:lineRule="exact"/>
              <w:jc w:val="left"/>
              <w:rPr>
                <w:rFonts w:eastAsia="仿宋_GB2312"/>
                <w:bCs/>
                <w:color w:val="000000"/>
                <w:kern w:val="0"/>
                <w:sz w:val="32"/>
                <w:szCs w:val="32"/>
              </w:rPr>
            </w:pPr>
          </w:p>
        </w:tc>
      </w:tr>
    </w:tbl>
    <w:p w:rsidR="00AA1737" w:rsidRDefault="00AA1737" w:rsidP="00AA1737">
      <w:pPr>
        <w:adjustRightInd w:val="0"/>
        <w:snapToGrid w:val="0"/>
        <w:spacing w:line="520" w:lineRule="exact"/>
        <w:jc w:val="left"/>
        <w:rPr>
          <w:rFonts w:eastAsia="仿宋_GB2312"/>
          <w:b/>
          <w:color w:val="000000"/>
          <w:kern w:val="0"/>
          <w:sz w:val="32"/>
          <w:szCs w:val="32"/>
        </w:rPr>
      </w:pPr>
    </w:p>
    <w:p w:rsidR="00C93746" w:rsidRDefault="00B526CE" w:rsidP="00AA1737">
      <w:pPr>
        <w:adjustRightInd w:val="0"/>
        <w:snapToGrid w:val="0"/>
        <w:spacing w:line="520" w:lineRule="exact"/>
        <w:jc w:val="left"/>
        <w:rPr>
          <w:rFonts w:eastAsia="仿宋_GB2312"/>
          <w:color w:val="000000"/>
          <w:kern w:val="0"/>
          <w:sz w:val="32"/>
          <w:szCs w:val="32"/>
        </w:rPr>
      </w:pPr>
      <w:r>
        <w:rPr>
          <w:rFonts w:eastAsia="仿宋_GB2312"/>
          <w:b/>
          <w:color w:val="000000"/>
          <w:kern w:val="0"/>
          <w:sz w:val="32"/>
          <w:szCs w:val="32"/>
        </w:rPr>
        <w:t>总体目标任务：</w:t>
      </w:r>
    </w:p>
    <w:p w:rsidR="00C93746" w:rsidRDefault="00B526CE" w:rsidP="00AA1737">
      <w:pPr>
        <w:adjustRightInd w:val="0"/>
        <w:snapToGrid w:val="0"/>
        <w:spacing w:line="520" w:lineRule="exact"/>
        <w:ind w:firstLineChars="200" w:firstLine="640"/>
        <w:jc w:val="left"/>
        <w:rPr>
          <w:rFonts w:ascii="仿宋_GB2312" w:eastAsia="仿宋_GB2312" w:hAnsi="仿宋_GB2312" w:cs="仿宋_GB2312"/>
          <w:b/>
          <w:color w:val="000000"/>
          <w:kern w:val="0"/>
          <w:sz w:val="32"/>
          <w:szCs w:val="32"/>
        </w:rPr>
      </w:pPr>
      <w:r>
        <w:rPr>
          <w:rFonts w:ascii="仿宋_GB2312" w:eastAsia="仿宋_GB2312" w:hAnsi="仿宋_GB2312" w:cs="仿宋_GB2312" w:hint="eastAsia"/>
          <w:sz w:val="32"/>
          <w:szCs w:val="32"/>
        </w:rPr>
        <w:t>在西北干旱、半干旱地区选取适宜试验区，对比和监测施用与未施用土壤涵养剂的不同地块灌溉水使用量、土壤肥力、土壤次生盐渍化、土壤重金属含量、植物生长状况、不同深度土壤水和地下水水势和水质等变化，综合分析土壤涵养剂应用区域土壤节水效率、水文系统、微生物系统、土壤质量、地表植物等生态环境效应，评估土壤涵养剂在西北干旱、半干旱地区进行生态修复的适用性及其生态环境效应。</w:t>
      </w:r>
    </w:p>
    <w:p w:rsidR="00C93746" w:rsidRDefault="00B526CE" w:rsidP="00AA1737">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预期成果：</w:t>
      </w:r>
    </w:p>
    <w:p w:rsidR="00C93746" w:rsidRDefault="00B526CE" w:rsidP="00AA1737">
      <w:pPr>
        <w:pStyle w:val="Default"/>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1.</w:t>
      </w:r>
      <w:r>
        <w:rPr>
          <w:rFonts w:ascii="Times New Roman" w:hAnsi="Times New Roman" w:cs="Times New Roman" w:hint="eastAsia"/>
          <w:sz w:val="32"/>
          <w:szCs w:val="32"/>
        </w:rPr>
        <w:t>土壤涵养剂对西北干旱、半干旱地区沙质土壤保水性、节水效果、用水效率研究报告。</w:t>
      </w:r>
    </w:p>
    <w:p w:rsidR="00C93746" w:rsidRDefault="00B526CE" w:rsidP="00AA1737">
      <w:pPr>
        <w:pStyle w:val="Default"/>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2.</w:t>
      </w:r>
      <w:r>
        <w:rPr>
          <w:rFonts w:ascii="Times New Roman" w:hAnsi="Times New Roman" w:cs="Times New Roman" w:hint="eastAsia"/>
          <w:sz w:val="32"/>
          <w:szCs w:val="32"/>
        </w:rPr>
        <w:t>土壤涵养剂对西北干旱、半干旱地区盐碱地和沙质土退化土壤修复研究报告。</w:t>
      </w:r>
    </w:p>
    <w:p w:rsidR="00C93746" w:rsidRDefault="00B526CE" w:rsidP="00AA1737">
      <w:pPr>
        <w:pStyle w:val="Default"/>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3.</w:t>
      </w:r>
      <w:r>
        <w:rPr>
          <w:rFonts w:ascii="Times New Roman" w:hAnsi="Times New Roman" w:cs="Times New Roman" w:hint="eastAsia"/>
          <w:sz w:val="32"/>
          <w:szCs w:val="32"/>
        </w:rPr>
        <w:t>土壤涵养剂对西北干旱、半干旱地区典型农作物、经济作物产量提升效果研究报告。</w:t>
      </w:r>
    </w:p>
    <w:p w:rsidR="00C93746" w:rsidRDefault="00B526CE" w:rsidP="00AA1737">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202</w:t>
      </w:r>
      <w:r>
        <w:rPr>
          <w:rFonts w:eastAsia="仿宋_GB2312" w:hint="eastAsia"/>
          <w:b/>
          <w:color w:val="000000"/>
          <w:kern w:val="0"/>
          <w:sz w:val="32"/>
          <w:szCs w:val="32"/>
        </w:rPr>
        <w:t>1</w:t>
      </w:r>
      <w:r>
        <w:rPr>
          <w:rFonts w:eastAsia="仿宋_GB2312"/>
          <w:b/>
          <w:color w:val="000000"/>
          <w:kern w:val="0"/>
          <w:sz w:val="32"/>
          <w:szCs w:val="32"/>
        </w:rPr>
        <w:t>年目标任务：</w:t>
      </w:r>
    </w:p>
    <w:p w:rsidR="00C93746" w:rsidRDefault="00B526CE" w:rsidP="00AA1737">
      <w:pPr>
        <w:pStyle w:val="Default"/>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1.</w:t>
      </w:r>
      <w:r>
        <w:rPr>
          <w:rFonts w:ascii="Times New Roman" w:hAnsi="Times New Roman" w:cs="Times New Roman" w:hint="eastAsia"/>
          <w:sz w:val="32"/>
          <w:szCs w:val="32"/>
        </w:rPr>
        <w:t>完成土壤涵养剂在普通土壤和沙质土壤环境下保水性</w:t>
      </w:r>
      <w:r>
        <w:rPr>
          <w:rFonts w:ascii="Times New Roman" w:hAnsi="Times New Roman" w:cs="Times New Roman" w:hint="eastAsia"/>
          <w:sz w:val="32"/>
          <w:szCs w:val="32"/>
        </w:rPr>
        <w:lastRenderedPageBreak/>
        <w:t>能评估，以及对土壤湿度、酸碱度、温度等关键参数的影响。</w:t>
      </w:r>
      <w:r>
        <w:rPr>
          <w:rFonts w:ascii="Times New Roman" w:hAnsi="Times New Roman" w:cs="Times New Roman" w:hint="eastAsia"/>
          <w:sz w:val="32"/>
          <w:szCs w:val="32"/>
        </w:rPr>
        <w:t xml:space="preserve">  </w:t>
      </w:r>
    </w:p>
    <w:p w:rsidR="00C93746" w:rsidRDefault="00B526CE" w:rsidP="00AA1737">
      <w:pPr>
        <w:pStyle w:val="Default"/>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2.</w:t>
      </w:r>
      <w:r>
        <w:rPr>
          <w:rFonts w:ascii="Times New Roman" w:hAnsi="Times New Roman" w:cs="Times New Roman" w:hint="eastAsia"/>
          <w:sz w:val="32"/>
          <w:szCs w:val="32"/>
        </w:rPr>
        <w:t>对比和监测施用与未施用土壤涵养剂的普通土壤和沙质土壤环境下西北典型农作物生长状况。</w:t>
      </w:r>
    </w:p>
    <w:p w:rsidR="00C93746" w:rsidRDefault="00B526CE" w:rsidP="00AA1737">
      <w:pPr>
        <w:pStyle w:val="Default"/>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3.</w:t>
      </w:r>
      <w:r>
        <w:rPr>
          <w:rFonts w:ascii="Times New Roman" w:hAnsi="Times New Roman" w:cs="Times New Roman" w:hint="eastAsia"/>
          <w:sz w:val="32"/>
          <w:szCs w:val="32"/>
        </w:rPr>
        <w:t>对比和监测施用与未施用土壤涵养剂的不同土壤在保证种植农作物正常生长条件下的灌溉水和水肥使用量效率。</w:t>
      </w:r>
    </w:p>
    <w:p w:rsidR="00C93746" w:rsidRDefault="00B526CE" w:rsidP="00AA1737">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202</w:t>
      </w:r>
      <w:r>
        <w:rPr>
          <w:rFonts w:eastAsia="仿宋_GB2312" w:hint="eastAsia"/>
          <w:b/>
          <w:color w:val="000000"/>
          <w:kern w:val="0"/>
          <w:sz w:val="32"/>
          <w:szCs w:val="32"/>
        </w:rPr>
        <w:t>1</w:t>
      </w:r>
      <w:r>
        <w:rPr>
          <w:rFonts w:eastAsia="仿宋_GB2312"/>
          <w:b/>
          <w:color w:val="000000"/>
          <w:kern w:val="0"/>
          <w:sz w:val="32"/>
          <w:szCs w:val="32"/>
        </w:rPr>
        <w:t>年主要实物工作量：</w:t>
      </w:r>
    </w:p>
    <w:p w:rsidR="00C93746" w:rsidRDefault="00B526CE" w:rsidP="00AA1737">
      <w:pPr>
        <w:adjustRightInd w:val="0"/>
        <w:snapToGrid w:val="0"/>
        <w:spacing w:line="520" w:lineRule="exact"/>
        <w:ind w:firstLineChars="200" w:firstLine="640"/>
        <w:jc w:val="left"/>
        <w:rPr>
          <w:rFonts w:eastAsia="仿宋_GB2312"/>
          <w:color w:val="000000"/>
          <w:kern w:val="0"/>
          <w:sz w:val="32"/>
          <w:szCs w:val="32"/>
        </w:rPr>
      </w:pPr>
      <w:r>
        <w:rPr>
          <w:rFonts w:eastAsia="仿宋_GB2312"/>
          <w:sz w:val="32"/>
          <w:szCs w:val="32"/>
        </w:rPr>
        <w:t>土壤涵养剂应用区域生态环境效应示范研究</w:t>
      </w:r>
      <w:r>
        <w:rPr>
          <w:rFonts w:eastAsia="仿宋_GB2312"/>
          <w:sz w:val="32"/>
          <w:szCs w:val="32"/>
        </w:rPr>
        <w:t>3000 m</w:t>
      </w:r>
      <w:r>
        <w:rPr>
          <w:rFonts w:eastAsia="仿宋_GB2312"/>
          <w:sz w:val="32"/>
          <w:szCs w:val="32"/>
          <w:vertAlign w:val="superscript"/>
        </w:rPr>
        <w:t>2</w:t>
      </w:r>
      <w:r>
        <w:rPr>
          <w:rFonts w:eastAsia="仿宋_GB2312"/>
          <w:sz w:val="32"/>
          <w:szCs w:val="32"/>
        </w:rPr>
        <w:t>。</w:t>
      </w:r>
    </w:p>
    <w:p w:rsidR="00C93746" w:rsidRDefault="00B526CE" w:rsidP="00AA1737">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202</w:t>
      </w:r>
      <w:r>
        <w:rPr>
          <w:rFonts w:eastAsia="仿宋_GB2312" w:hint="eastAsia"/>
          <w:b/>
          <w:color w:val="000000"/>
          <w:kern w:val="0"/>
          <w:sz w:val="32"/>
          <w:szCs w:val="32"/>
        </w:rPr>
        <w:t>1</w:t>
      </w:r>
      <w:r>
        <w:rPr>
          <w:rFonts w:eastAsia="仿宋_GB2312"/>
          <w:b/>
          <w:color w:val="000000"/>
          <w:kern w:val="0"/>
          <w:sz w:val="32"/>
          <w:szCs w:val="32"/>
        </w:rPr>
        <w:t>年度预期成果：</w:t>
      </w:r>
    </w:p>
    <w:p w:rsidR="00C93746" w:rsidRDefault="00B526CE" w:rsidP="00AA1737">
      <w:pPr>
        <w:pStyle w:val="Default"/>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1.</w:t>
      </w:r>
      <w:r>
        <w:rPr>
          <w:rFonts w:ascii="Times New Roman" w:hAnsi="Times New Roman" w:cs="Times New Roman" w:hint="eastAsia"/>
          <w:sz w:val="32"/>
          <w:szCs w:val="32"/>
        </w:rPr>
        <w:t>土壤涵养剂对西北干旱、半干旱地区沙质土壤保水性、节水效果、用水效率研究报告。</w:t>
      </w:r>
    </w:p>
    <w:p w:rsidR="00C93746" w:rsidRDefault="00B526CE" w:rsidP="00AA1737">
      <w:pPr>
        <w:pStyle w:val="Default"/>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2.</w:t>
      </w:r>
      <w:r>
        <w:rPr>
          <w:rFonts w:ascii="Times New Roman" w:hAnsi="Times New Roman" w:cs="Times New Roman" w:hint="eastAsia"/>
          <w:sz w:val="32"/>
          <w:szCs w:val="32"/>
        </w:rPr>
        <w:t>发表论文</w:t>
      </w:r>
      <w:r>
        <w:rPr>
          <w:rFonts w:ascii="Times New Roman" w:hAnsi="Times New Roman" w:cs="Times New Roman" w:hint="eastAsia"/>
          <w:sz w:val="32"/>
          <w:szCs w:val="32"/>
        </w:rPr>
        <w:t>1-2</w:t>
      </w:r>
      <w:r>
        <w:rPr>
          <w:rFonts w:ascii="Times New Roman" w:hAnsi="Times New Roman" w:cs="Times New Roman" w:hint="eastAsia"/>
          <w:sz w:val="32"/>
          <w:szCs w:val="32"/>
        </w:rPr>
        <w:t>篇。</w:t>
      </w:r>
    </w:p>
    <w:p w:rsidR="00C93746" w:rsidRDefault="00B526CE" w:rsidP="00AA1737">
      <w:pPr>
        <w:adjustRightInd w:val="0"/>
        <w:snapToGrid w:val="0"/>
        <w:spacing w:line="520" w:lineRule="exact"/>
        <w:jc w:val="left"/>
        <w:rPr>
          <w:rFonts w:eastAsia="仿宋_GB2312"/>
          <w:color w:val="000000"/>
          <w:kern w:val="0"/>
          <w:sz w:val="32"/>
          <w:szCs w:val="32"/>
        </w:rPr>
      </w:pPr>
      <w:r>
        <w:rPr>
          <w:rFonts w:eastAsia="仿宋_GB2312"/>
          <w:b/>
          <w:kern w:val="0"/>
          <w:sz w:val="32"/>
          <w:szCs w:val="32"/>
        </w:rPr>
        <w:t>提交报告时间：</w:t>
      </w:r>
      <w:r>
        <w:rPr>
          <w:rFonts w:eastAsia="仿宋_GB2312"/>
          <w:color w:val="000000"/>
          <w:kern w:val="0"/>
          <w:sz w:val="32"/>
          <w:szCs w:val="32"/>
        </w:rPr>
        <w:t>202</w:t>
      </w:r>
      <w:r>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12</w:t>
      </w:r>
      <w:r>
        <w:rPr>
          <w:rFonts w:eastAsia="仿宋_GB2312"/>
          <w:color w:val="000000"/>
          <w:kern w:val="0"/>
          <w:sz w:val="32"/>
          <w:szCs w:val="32"/>
        </w:rPr>
        <w:t>月。</w:t>
      </w:r>
    </w:p>
    <w:p w:rsidR="00C93746" w:rsidRDefault="00B526CE" w:rsidP="00AA1737">
      <w:pPr>
        <w:adjustRightInd w:val="0"/>
        <w:snapToGrid w:val="0"/>
        <w:spacing w:line="520" w:lineRule="exact"/>
        <w:jc w:val="left"/>
        <w:rPr>
          <w:rFonts w:eastAsia="仿宋_GB2312"/>
          <w:color w:val="000000"/>
          <w:kern w:val="0"/>
          <w:sz w:val="32"/>
          <w:szCs w:val="32"/>
        </w:rPr>
      </w:pPr>
      <w:r>
        <w:rPr>
          <w:rFonts w:eastAsia="仿宋_GB2312"/>
          <w:b/>
          <w:color w:val="000000"/>
          <w:kern w:val="0"/>
          <w:sz w:val="32"/>
          <w:szCs w:val="32"/>
        </w:rPr>
        <w:t>经费预算：</w:t>
      </w:r>
      <w:r>
        <w:rPr>
          <w:rFonts w:eastAsia="仿宋_GB2312"/>
          <w:color w:val="000000"/>
          <w:kern w:val="0"/>
          <w:sz w:val="32"/>
          <w:szCs w:val="32"/>
        </w:rPr>
        <w:t>202</w:t>
      </w:r>
      <w:r>
        <w:rPr>
          <w:rFonts w:eastAsia="仿宋_GB2312" w:hint="eastAsia"/>
          <w:color w:val="000000"/>
          <w:kern w:val="0"/>
          <w:sz w:val="32"/>
          <w:szCs w:val="32"/>
        </w:rPr>
        <w:t>1</w:t>
      </w:r>
      <w:r>
        <w:rPr>
          <w:rFonts w:eastAsia="仿宋_GB2312"/>
          <w:color w:val="000000"/>
          <w:kern w:val="0"/>
          <w:sz w:val="32"/>
          <w:szCs w:val="32"/>
        </w:rPr>
        <w:t>年度经费预算</w:t>
      </w:r>
      <w:r>
        <w:rPr>
          <w:rFonts w:eastAsia="仿宋_GB2312" w:hint="eastAsia"/>
          <w:color w:val="000000"/>
          <w:kern w:val="0"/>
          <w:sz w:val="32"/>
          <w:szCs w:val="32"/>
        </w:rPr>
        <w:t>48</w:t>
      </w:r>
      <w:r>
        <w:rPr>
          <w:rFonts w:eastAsia="仿宋_GB2312"/>
          <w:color w:val="000000"/>
          <w:kern w:val="0"/>
          <w:sz w:val="32"/>
          <w:szCs w:val="32"/>
        </w:rPr>
        <w:t>万元。</w:t>
      </w:r>
    </w:p>
    <w:p w:rsidR="00C93746" w:rsidRDefault="00C93746">
      <w:pPr>
        <w:adjustRightInd w:val="0"/>
        <w:snapToGrid w:val="0"/>
        <w:spacing w:line="480" w:lineRule="exact"/>
        <w:jc w:val="left"/>
        <w:rPr>
          <w:rFonts w:eastAsia="仿宋_GB2312"/>
          <w:color w:val="000000"/>
          <w:kern w:val="0"/>
          <w:sz w:val="32"/>
          <w:szCs w:val="32"/>
        </w:rPr>
      </w:pPr>
    </w:p>
    <w:p w:rsidR="00C93746" w:rsidRDefault="00C93746">
      <w:pPr>
        <w:adjustRightInd w:val="0"/>
        <w:snapToGrid w:val="0"/>
        <w:spacing w:line="480" w:lineRule="exact"/>
        <w:jc w:val="left"/>
        <w:rPr>
          <w:rFonts w:eastAsia="仿宋_GB2312"/>
          <w:color w:val="000000"/>
          <w:kern w:val="0"/>
          <w:sz w:val="32"/>
          <w:szCs w:val="32"/>
        </w:rPr>
      </w:pPr>
    </w:p>
    <w:p w:rsidR="00C93746" w:rsidRDefault="00B526CE">
      <w:pPr>
        <w:wordWrap w:val="0"/>
        <w:adjustRightInd w:val="0"/>
        <w:snapToGrid w:val="0"/>
        <w:spacing w:line="480" w:lineRule="exact"/>
        <w:jc w:val="right"/>
        <w:rPr>
          <w:rFonts w:eastAsia="仿宋_GB2312"/>
          <w:color w:val="000000"/>
          <w:kern w:val="0"/>
          <w:sz w:val="32"/>
          <w:szCs w:val="32"/>
        </w:rPr>
      </w:pPr>
      <w:r>
        <w:rPr>
          <w:rFonts w:eastAsia="仿宋_GB2312"/>
          <w:color w:val="000000"/>
          <w:kern w:val="0"/>
          <w:sz w:val="32"/>
          <w:szCs w:val="32"/>
        </w:rPr>
        <w:t>202</w:t>
      </w:r>
      <w:r>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4</w:t>
      </w:r>
      <w:r>
        <w:rPr>
          <w:rFonts w:eastAsia="仿宋_GB2312"/>
          <w:color w:val="000000"/>
          <w:kern w:val="0"/>
          <w:sz w:val="32"/>
          <w:szCs w:val="32"/>
        </w:rPr>
        <w:t>月</w:t>
      </w:r>
      <w:r>
        <w:rPr>
          <w:rFonts w:eastAsia="仿宋_GB2312" w:hint="eastAsia"/>
          <w:color w:val="000000"/>
          <w:kern w:val="0"/>
          <w:sz w:val="32"/>
          <w:szCs w:val="32"/>
        </w:rPr>
        <w:t>1</w:t>
      </w:r>
      <w:r w:rsidR="00C479E3">
        <w:rPr>
          <w:rFonts w:eastAsia="仿宋_GB2312" w:hint="eastAsia"/>
          <w:color w:val="000000"/>
          <w:kern w:val="0"/>
          <w:sz w:val="32"/>
          <w:szCs w:val="32"/>
        </w:rPr>
        <w:t>4</w:t>
      </w:r>
      <w:r>
        <w:rPr>
          <w:rFonts w:eastAsia="仿宋_GB2312"/>
          <w:color w:val="000000"/>
          <w:kern w:val="0"/>
          <w:sz w:val="32"/>
          <w:szCs w:val="32"/>
        </w:rPr>
        <w:t>日</w:t>
      </w:r>
      <w:r>
        <w:rPr>
          <w:rFonts w:eastAsia="仿宋_GB2312"/>
          <w:color w:val="000000"/>
          <w:kern w:val="0"/>
          <w:sz w:val="32"/>
          <w:szCs w:val="32"/>
        </w:rPr>
        <w:t xml:space="preserve">    </w:t>
      </w:r>
    </w:p>
    <w:sectPr w:rsidR="00C93746" w:rsidSect="00C93746">
      <w:headerReference w:type="default" r:id="rId8"/>
      <w:pgSz w:w="11906" w:h="16838"/>
      <w:pgMar w:top="1440" w:right="1800" w:bottom="1440" w:left="1800" w:header="851" w:footer="992"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8022AB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C0F" w:rsidRDefault="006A0C0F" w:rsidP="00C93746">
      <w:r>
        <w:separator/>
      </w:r>
    </w:p>
  </w:endnote>
  <w:endnote w:type="continuationSeparator" w:id="0">
    <w:p w:rsidR="006A0C0F" w:rsidRDefault="006A0C0F" w:rsidP="00C937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C0F" w:rsidRDefault="006A0C0F" w:rsidP="00C93746">
      <w:r>
        <w:separator/>
      </w:r>
    </w:p>
  </w:footnote>
  <w:footnote w:type="continuationSeparator" w:id="0">
    <w:p w:rsidR="006A0C0F" w:rsidRDefault="006A0C0F" w:rsidP="00C937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746" w:rsidRDefault="00C93746">
    <w:pPr>
      <w:pStyle w:val="a9"/>
      <w:pBdr>
        <w:bottom w:val="none" w:sz="0" w:space="0" w:color="auto"/>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L">
    <w15:presenceInfo w15:providerId="None" w15:userId="KL"/>
  </w15:person>
  <w15:person w15:author="徐永">
    <w15:presenceInfo w15:providerId="WPS Office" w15:userId="289972906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7978"/>
    <w:rsid w:val="00004951"/>
    <w:rsid w:val="000168B6"/>
    <w:rsid w:val="00022F0A"/>
    <w:rsid w:val="00023D5B"/>
    <w:rsid w:val="00030646"/>
    <w:rsid w:val="000312E5"/>
    <w:rsid w:val="00036E99"/>
    <w:rsid w:val="00053893"/>
    <w:rsid w:val="00060692"/>
    <w:rsid w:val="00066A0C"/>
    <w:rsid w:val="00074EAA"/>
    <w:rsid w:val="00076898"/>
    <w:rsid w:val="00082889"/>
    <w:rsid w:val="00082FDA"/>
    <w:rsid w:val="000876C1"/>
    <w:rsid w:val="000907CC"/>
    <w:rsid w:val="00096B67"/>
    <w:rsid w:val="000B03C5"/>
    <w:rsid w:val="000B6030"/>
    <w:rsid w:val="000B758D"/>
    <w:rsid w:val="000C0D4F"/>
    <w:rsid w:val="000C314B"/>
    <w:rsid w:val="000C3684"/>
    <w:rsid w:val="000C7E96"/>
    <w:rsid w:val="000E0A8B"/>
    <w:rsid w:val="001043E8"/>
    <w:rsid w:val="00110D4D"/>
    <w:rsid w:val="001221D9"/>
    <w:rsid w:val="00134E1A"/>
    <w:rsid w:val="00147031"/>
    <w:rsid w:val="00165338"/>
    <w:rsid w:val="001673C2"/>
    <w:rsid w:val="00171348"/>
    <w:rsid w:val="00171D9B"/>
    <w:rsid w:val="00173FD5"/>
    <w:rsid w:val="00177987"/>
    <w:rsid w:val="00185A16"/>
    <w:rsid w:val="00197C71"/>
    <w:rsid w:val="00197E29"/>
    <w:rsid w:val="001B6997"/>
    <w:rsid w:val="001C14F3"/>
    <w:rsid w:val="001C7E9F"/>
    <w:rsid w:val="001D0348"/>
    <w:rsid w:val="001D5AEE"/>
    <w:rsid w:val="001E38B9"/>
    <w:rsid w:val="001F4132"/>
    <w:rsid w:val="001F63DC"/>
    <w:rsid w:val="002076B7"/>
    <w:rsid w:val="00220F48"/>
    <w:rsid w:val="00224E81"/>
    <w:rsid w:val="00226AEC"/>
    <w:rsid w:val="0023086B"/>
    <w:rsid w:val="00231896"/>
    <w:rsid w:val="00242AE6"/>
    <w:rsid w:val="002527DE"/>
    <w:rsid w:val="002531BD"/>
    <w:rsid w:val="00280635"/>
    <w:rsid w:val="002821AF"/>
    <w:rsid w:val="00285687"/>
    <w:rsid w:val="00286B3D"/>
    <w:rsid w:val="00296F3A"/>
    <w:rsid w:val="002A02ED"/>
    <w:rsid w:val="002A1383"/>
    <w:rsid w:val="002B0847"/>
    <w:rsid w:val="002B0FFD"/>
    <w:rsid w:val="002C051F"/>
    <w:rsid w:val="002C76FF"/>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300C"/>
    <w:rsid w:val="0039332A"/>
    <w:rsid w:val="00395279"/>
    <w:rsid w:val="003973B2"/>
    <w:rsid w:val="003A38AE"/>
    <w:rsid w:val="003B125F"/>
    <w:rsid w:val="003B53A4"/>
    <w:rsid w:val="003C6444"/>
    <w:rsid w:val="003D7DA4"/>
    <w:rsid w:val="003E4F37"/>
    <w:rsid w:val="003E77FF"/>
    <w:rsid w:val="003E7B67"/>
    <w:rsid w:val="003F24E9"/>
    <w:rsid w:val="003F4390"/>
    <w:rsid w:val="003F505E"/>
    <w:rsid w:val="00406268"/>
    <w:rsid w:val="00407E2F"/>
    <w:rsid w:val="004232A0"/>
    <w:rsid w:val="004238C3"/>
    <w:rsid w:val="00424D32"/>
    <w:rsid w:val="00427978"/>
    <w:rsid w:val="00427B9B"/>
    <w:rsid w:val="004305EF"/>
    <w:rsid w:val="004324B5"/>
    <w:rsid w:val="004332B0"/>
    <w:rsid w:val="00462267"/>
    <w:rsid w:val="0046570C"/>
    <w:rsid w:val="00465D78"/>
    <w:rsid w:val="00467B77"/>
    <w:rsid w:val="00472951"/>
    <w:rsid w:val="004771F2"/>
    <w:rsid w:val="0048127B"/>
    <w:rsid w:val="004830C1"/>
    <w:rsid w:val="00490546"/>
    <w:rsid w:val="00491E77"/>
    <w:rsid w:val="00494EB0"/>
    <w:rsid w:val="00495B60"/>
    <w:rsid w:val="004A656E"/>
    <w:rsid w:val="004B0ADE"/>
    <w:rsid w:val="004C6257"/>
    <w:rsid w:val="004D78E0"/>
    <w:rsid w:val="004E27D2"/>
    <w:rsid w:val="004E45A8"/>
    <w:rsid w:val="004F376B"/>
    <w:rsid w:val="004F64B5"/>
    <w:rsid w:val="00511240"/>
    <w:rsid w:val="005132FD"/>
    <w:rsid w:val="00514108"/>
    <w:rsid w:val="00516CB1"/>
    <w:rsid w:val="00521893"/>
    <w:rsid w:val="00534126"/>
    <w:rsid w:val="00547F79"/>
    <w:rsid w:val="00551B2C"/>
    <w:rsid w:val="005602FD"/>
    <w:rsid w:val="005657EA"/>
    <w:rsid w:val="0056770B"/>
    <w:rsid w:val="0057173C"/>
    <w:rsid w:val="00576F22"/>
    <w:rsid w:val="005A1E75"/>
    <w:rsid w:val="005A57DC"/>
    <w:rsid w:val="005C16F3"/>
    <w:rsid w:val="005E00DF"/>
    <w:rsid w:val="005E2A77"/>
    <w:rsid w:val="005E5EB2"/>
    <w:rsid w:val="005F49D9"/>
    <w:rsid w:val="00604BA6"/>
    <w:rsid w:val="00605691"/>
    <w:rsid w:val="00605E63"/>
    <w:rsid w:val="00607D66"/>
    <w:rsid w:val="00631D98"/>
    <w:rsid w:val="0063570F"/>
    <w:rsid w:val="00644056"/>
    <w:rsid w:val="006527A1"/>
    <w:rsid w:val="00670A7F"/>
    <w:rsid w:val="00673A48"/>
    <w:rsid w:val="00674589"/>
    <w:rsid w:val="0067618C"/>
    <w:rsid w:val="00677BBC"/>
    <w:rsid w:val="00685D63"/>
    <w:rsid w:val="006A0C0F"/>
    <w:rsid w:val="006A34CD"/>
    <w:rsid w:val="006B107C"/>
    <w:rsid w:val="006B41E9"/>
    <w:rsid w:val="006B590B"/>
    <w:rsid w:val="006B614D"/>
    <w:rsid w:val="006C37B2"/>
    <w:rsid w:val="006C3A37"/>
    <w:rsid w:val="006C53A2"/>
    <w:rsid w:val="006D41B9"/>
    <w:rsid w:val="006D487C"/>
    <w:rsid w:val="006E102B"/>
    <w:rsid w:val="006F2AA5"/>
    <w:rsid w:val="00710898"/>
    <w:rsid w:val="007138DD"/>
    <w:rsid w:val="00714FD8"/>
    <w:rsid w:val="00716500"/>
    <w:rsid w:val="007274B8"/>
    <w:rsid w:val="007326D8"/>
    <w:rsid w:val="00737AFA"/>
    <w:rsid w:val="007456CD"/>
    <w:rsid w:val="00745FFE"/>
    <w:rsid w:val="00753921"/>
    <w:rsid w:val="00756459"/>
    <w:rsid w:val="00764581"/>
    <w:rsid w:val="00782569"/>
    <w:rsid w:val="007A01C9"/>
    <w:rsid w:val="007A1600"/>
    <w:rsid w:val="007A5659"/>
    <w:rsid w:val="007B75E6"/>
    <w:rsid w:val="007C0E08"/>
    <w:rsid w:val="007C47D2"/>
    <w:rsid w:val="007D4DFB"/>
    <w:rsid w:val="007E000F"/>
    <w:rsid w:val="007F2C22"/>
    <w:rsid w:val="00800420"/>
    <w:rsid w:val="00803456"/>
    <w:rsid w:val="00807FAF"/>
    <w:rsid w:val="00811A72"/>
    <w:rsid w:val="00812BC6"/>
    <w:rsid w:val="00813F17"/>
    <w:rsid w:val="00817751"/>
    <w:rsid w:val="00817D91"/>
    <w:rsid w:val="00823E7F"/>
    <w:rsid w:val="00827B77"/>
    <w:rsid w:val="00832B20"/>
    <w:rsid w:val="0083535C"/>
    <w:rsid w:val="0084249F"/>
    <w:rsid w:val="00857BCF"/>
    <w:rsid w:val="00864B23"/>
    <w:rsid w:val="00865A8B"/>
    <w:rsid w:val="0086782D"/>
    <w:rsid w:val="008834A2"/>
    <w:rsid w:val="008856F0"/>
    <w:rsid w:val="00891D0D"/>
    <w:rsid w:val="008A61AB"/>
    <w:rsid w:val="008A6B50"/>
    <w:rsid w:val="008B260D"/>
    <w:rsid w:val="008C48BB"/>
    <w:rsid w:val="008C61C6"/>
    <w:rsid w:val="008C6FC6"/>
    <w:rsid w:val="008D159A"/>
    <w:rsid w:val="008D4422"/>
    <w:rsid w:val="008E160E"/>
    <w:rsid w:val="008E2730"/>
    <w:rsid w:val="008E724D"/>
    <w:rsid w:val="008F3135"/>
    <w:rsid w:val="008F5C60"/>
    <w:rsid w:val="008F70D0"/>
    <w:rsid w:val="00915A9C"/>
    <w:rsid w:val="00917ECF"/>
    <w:rsid w:val="0092200D"/>
    <w:rsid w:val="00923599"/>
    <w:rsid w:val="00923F22"/>
    <w:rsid w:val="00927D27"/>
    <w:rsid w:val="0095213D"/>
    <w:rsid w:val="00954E68"/>
    <w:rsid w:val="0097321F"/>
    <w:rsid w:val="00975063"/>
    <w:rsid w:val="00980AF3"/>
    <w:rsid w:val="00982B3A"/>
    <w:rsid w:val="009867A2"/>
    <w:rsid w:val="009872EC"/>
    <w:rsid w:val="009A1A62"/>
    <w:rsid w:val="009A4208"/>
    <w:rsid w:val="009A65A5"/>
    <w:rsid w:val="009B1104"/>
    <w:rsid w:val="009B17E1"/>
    <w:rsid w:val="009B725B"/>
    <w:rsid w:val="009C577E"/>
    <w:rsid w:val="009C7B25"/>
    <w:rsid w:val="009D432C"/>
    <w:rsid w:val="009D43A9"/>
    <w:rsid w:val="009D4ED6"/>
    <w:rsid w:val="009D5F5A"/>
    <w:rsid w:val="009E04C8"/>
    <w:rsid w:val="009F182C"/>
    <w:rsid w:val="009F1C31"/>
    <w:rsid w:val="009F44E9"/>
    <w:rsid w:val="009F6E71"/>
    <w:rsid w:val="00A06CA7"/>
    <w:rsid w:val="00A11F45"/>
    <w:rsid w:val="00A159E6"/>
    <w:rsid w:val="00A22F23"/>
    <w:rsid w:val="00A23498"/>
    <w:rsid w:val="00A24293"/>
    <w:rsid w:val="00A24470"/>
    <w:rsid w:val="00A31F67"/>
    <w:rsid w:val="00A54303"/>
    <w:rsid w:val="00A657DA"/>
    <w:rsid w:val="00A70A54"/>
    <w:rsid w:val="00A772A9"/>
    <w:rsid w:val="00A83DE0"/>
    <w:rsid w:val="00A90B3A"/>
    <w:rsid w:val="00A9649A"/>
    <w:rsid w:val="00AA1737"/>
    <w:rsid w:val="00AA2DF5"/>
    <w:rsid w:val="00AB3CA6"/>
    <w:rsid w:val="00AD15AA"/>
    <w:rsid w:val="00AD29B2"/>
    <w:rsid w:val="00AD5519"/>
    <w:rsid w:val="00AE0FC8"/>
    <w:rsid w:val="00AE242A"/>
    <w:rsid w:val="00AE2D91"/>
    <w:rsid w:val="00AE5E04"/>
    <w:rsid w:val="00B00CF0"/>
    <w:rsid w:val="00B0119A"/>
    <w:rsid w:val="00B05E97"/>
    <w:rsid w:val="00B06D84"/>
    <w:rsid w:val="00B15104"/>
    <w:rsid w:val="00B23A65"/>
    <w:rsid w:val="00B310BD"/>
    <w:rsid w:val="00B33E5F"/>
    <w:rsid w:val="00B35B33"/>
    <w:rsid w:val="00B37292"/>
    <w:rsid w:val="00B47857"/>
    <w:rsid w:val="00B5197C"/>
    <w:rsid w:val="00B526CE"/>
    <w:rsid w:val="00B540A5"/>
    <w:rsid w:val="00B54D16"/>
    <w:rsid w:val="00B7538F"/>
    <w:rsid w:val="00B9406D"/>
    <w:rsid w:val="00B974A6"/>
    <w:rsid w:val="00B97940"/>
    <w:rsid w:val="00BA0C11"/>
    <w:rsid w:val="00BA24E8"/>
    <w:rsid w:val="00BB4F56"/>
    <w:rsid w:val="00BE0A95"/>
    <w:rsid w:val="00BE0C0E"/>
    <w:rsid w:val="00BF012F"/>
    <w:rsid w:val="00BF0782"/>
    <w:rsid w:val="00BF0FF8"/>
    <w:rsid w:val="00BF5D74"/>
    <w:rsid w:val="00C03402"/>
    <w:rsid w:val="00C034EA"/>
    <w:rsid w:val="00C13612"/>
    <w:rsid w:val="00C204ED"/>
    <w:rsid w:val="00C302FC"/>
    <w:rsid w:val="00C32698"/>
    <w:rsid w:val="00C36E68"/>
    <w:rsid w:val="00C479E3"/>
    <w:rsid w:val="00C51F20"/>
    <w:rsid w:val="00C52330"/>
    <w:rsid w:val="00C601AF"/>
    <w:rsid w:val="00C621E6"/>
    <w:rsid w:val="00C63741"/>
    <w:rsid w:val="00C679CE"/>
    <w:rsid w:val="00C72AD6"/>
    <w:rsid w:val="00C72DDB"/>
    <w:rsid w:val="00C774D4"/>
    <w:rsid w:val="00C775B5"/>
    <w:rsid w:val="00C93746"/>
    <w:rsid w:val="00C97387"/>
    <w:rsid w:val="00CA2760"/>
    <w:rsid w:val="00CB0510"/>
    <w:rsid w:val="00CC2788"/>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516C6"/>
    <w:rsid w:val="00D609FF"/>
    <w:rsid w:val="00D6352C"/>
    <w:rsid w:val="00D64985"/>
    <w:rsid w:val="00D72ECE"/>
    <w:rsid w:val="00D87780"/>
    <w:rsid w:val="00D909FA"/>
    <w:rsid w:val="00DA0B90"/>
    <w:rsid w:val="00DA4814"/>
    <w:rsid w:val="00DA6EF5"/>
    <w:rsid w:val="00DB1800"/>
    <w:rsid w:val="00DB4847"/>
    <w:rsid w:val="00DB4919"/>
    <w:rsid w:val="00DD5300"/>
    <w:rsid w:val="00DD5C12"/>
    <w:rsid w:val="00DD610A"/>
    <w:rsid w:val="00DD7A2C"/>
    <w:rsid w:val="00DE402E"/>
    <w:rsid w:val="00DF0279"/>
    <w:rsid w:val="00DF3470"/>
    <w:rsid w:val="00E0609D"/>
    <w:rsid w:val="00E20042"/>
    <w:rsid w:val="00E54F14"/>
    <w:rsid w:val="00E620E4"/>
    <w:rsid w:val="00E647D5"/>
    <w:rsid w:val="00E716D9"/>
    <w:rsid w:val="00EA624F"/>
    <w:rsid w:val="00EB244D"/>
    <w:rsid w:val="00EB673D"/>
    <w:rsid w:val="00EB774D"/>
    <w:rsid w:val="00EC1D06"/>
    <w:rsid w:val="00ED5FE1"/>
    <w:rsid w:val="00EE4EE3"/>
    <w:rsid w:val="00EE5C4A"/>
    <w:rsid w:val="00F12470"/>
    <w:rsid w:val="00F22475"/>
    <w:rsid w:val="00F337DC"/>
    <w:rsid w:val="00F357C4"/>
    <w:rsid w:val="00F405C1"/>
    <w:rsid w:val="00F45E9F"/>
    <w:rsid w:val="00F50341"/>
    <w:rsid w:val="00F50CB7"/>
    <w:rsid w:val="00F546AC"/>
    <w:rsid w:val="00F57B47"/>
    <w:rsid w:val="00F717CC"/>
    <w:rsid w:val="00F91282"/>
    <w:rsid w:val="00FA07A6"/>
    <w:rsid w:val="00FA13D1"/>
    <w:rsid w:val="00FA1453"/>
    <w:rsid w:val="00FA5E1A"/>
    <w:rsid w:val="00FB19AE"/>
    <w:rsid w:val="00FB3AF6"/>
    <w:rsid w:val="00FB4C04"/>
    <w:rsid w:val="00FC0C88"/>
    <w:rsid w:val="00FC5646"/>
    <w:rsid w:val="00FD0183"/>
    <w:rsid w:val="00FD2A87"/>
    <w:rsid w:val="00FE4E37"/>
    <w:rsid w:val="00FF3139"/>
    <w:rsid w:val="00FF438B"/>
    <w:rsid w:val="00FF66E1"/>
    <w:rsid w:val="03212865"/>
    <w:rsid w:val="05F3070E"/>
    <w:rsid w:val="062702F0"/>
    <w:rsid w:val="0D754EF8"/>
    <w:rsid w:val="133746B8"/>
    <w:rsid w:val="1E1C18E3"/>
    <w:rsid w:val="210B0AA2"/>
    <w:rsid w:val="248064A2"/>
    <w:rsid w:val="253D4AFC"/>
    <w:rsid w:val="4AF72D37"/>
    <w:rsid w:val="52E50D16"/>
    <w:rsid w:val="5AFC6574"/>
    <w:rsid w:val="70E516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unhideWhenUsed="0" w:qFormat="1"/>
    <w:lsdException w:name="footer" w:uiPriority="0" w:unhideWhenUsed="0" w:qFormat="1"/>
    <w:lsdException w:name="caption" w:uiPriority="35" w:qFormat="1"/>
    <w:lsdException w:name="annotation reference" w:qFormat="1"/>
    <w:lsdException w:name="page number" w:uiPriority="0" w:unhideWhenUsed="0" w:qFormat="1"/>
    <w:lsdException w:name="Title" w:semiHidden="0" w:uiPriority="10" w:unhideWhenUsed="0" w:qFormat="1"/>
    <w:lsdException w:name="Default Paragraph Font" w:uiPriority="1"/>
    <w:lsdException w:name="Body Text Indent" w:semiHidden="0" w:uiPriority="0" w:qFormat="1"/>
    <w:lsdException w:name="Subtitle" w:semiHidden="0" w:uiPriority="11" w:unhideWhenUsed="0" w:qFormat="1"/>
    <w:lsdException w:name="Date" w:uiPriority="0" w:unhideWhenUsed="0" w:qFormat="1"/>
    <w:lsdException w:name="Strong" w:semiHidden="0" w:uiPriority="22" w:unhideWhenUsed="0" w:qFormat="1"/>
    <w:lsdException w:name="Emphasis" w:semiHidden="0" w:uiPriority="20" w:unhideWhenUsed="0" w:qFormat="1"/>
    <w:lsdException w:name="Document Map" w:uiPriority="0" w:unhideWhenUsed="0" w:qFormat="1"/>
    <w:lsdException w:name="Normal Table" w:qFormat="1"/>
    <w:lsdException w:name="annotation subject" w:qFormat="1"/>
    <w:lsdException w:name="Balloon Text"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746"/>
    <w:pPr>
      <w:widowControl w:val="0"/>
      <w:jc w:val="both"/>
    </w:pPr>
    <w:rPr>
      <w:kern w:val="2"/>
      <w:sz w:val="28"/>
      <w:szCs w:val="24"/>
    </w:rPr>
  </w:style>
  <w:style w:type="paragraph" w:styleId="2">
    <w:name w:val="heading 2"/>
    <w:basedOn w:val="a"/>
    <w:next w:val="a"/>
    <w:link w:val="2Char"/>
    <w:uiPriority w:val="9"/>
    <w:unhideWhenUsed/>
    <w:qFormat/>
    <w:rsid w:val="00C93746"/>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rsid w:val="00C93746"/>
    <w:pPr>
      <w:shd w:val="clear" w:color="auto" w:fill="000080"/>
    </w:pPr>
  </w:style>
  <w:style w:type="paragraph" w:styleId="a4">
    <w:name w:val="annotation text"/>
    <w:basedOn w:val="a"/>
    <w:link w:val="Char"/>
    <w:uiPriority w:val="99"/>
    <w:semiHidden/>
    <w:unhideWhenUsed/>
    <w:qFormat/>
    <w:rsid w:val="00C93746"/>
    <w:pPr>
      <w:jc w:val="left"/>
    </w:pPr>
  </w:style>
  <w:style w:type="paragraph" w:styleId="a5">
    <w:name w:val="Body Text Indent"/>
    <w:basedOn w:val="a"/>
    <w:link w:val="Char0"/>
    <w:unhideWhenUsed/>
    <w:qFormat/>
    <w:rsid w:val="00C93746"/>
    <w:pPr>
      <w:spacing w:after="120"/>
      <w:ind w:leftChars="200" w:left="420" w:firstLineChars="200" w:firstLine="200"/>
    </w:pPr>
    <w:rPr>
      <w:rFonts w:ascii="Calibri" w:eastAsia="仿宋_GB2312" w:hAnsi="Calibri"/>
      <w:sz w:val="32"/>
      <w:szCs w:val="22"/>
    </w:rPr>
  </w:style>
  <w:style w:type="paragraph" w:styleId="a6">
    <w:name w:val="Date"/>
    <w:basedOn w:val="a"/>
    <w:next w:val="a"/>
    <w:semiHidden/>
    <w:qFormat/>
    <w:rsid w:val="00C93746"/>
    <w:pPr>
      <w:ind w:leftChars="2500" w:left="100"/>
    </w:pPr>
    <w:rPr>
      <w:rFonts w:ascii="仿宋_GB2312" w:eastAsia="仿宋_GB2312" w:hAnsi="宋体"/>
      <w:sz w:val="32"/>
    </w:rPr>
  </w:style>
  <w:style w:type="paragraph" w:styleId="a7">
    <w:name w:val="Balloon Text"/>
    <w:basedOn w:val="a"/>
    <w:link w:val="Char1"/>
    <w:uiPriority w:val="99"/>
    <w:semiHidden/>
    <w:unhideWhenUsed/>
    <w:qFormat/>
    <w:rsid w:val="00C93746"/>
    <w:rPr>
      <w:sz w:val="18"/>
      <w:szCs w:val="18"/>
    </w:rPr>
  </w:style>
  <w:style w:type="paragraph" w:styleId="a8">
    <w:name w:val="footer"/>
    <w:basedOn w:val="a"/>
    <w:semiHidden/>
    <w:qFormat/>
    <w:rsid w:val="00C93746"/>
    <w:pPr>
      <w:tabs>
        <w:tab w:val="center" w:pos="4153"/>
        <w:tab w:val="right" w:pos="8306"/>
      </w:tabs>
      <w:snapToGrid w:val="0"/>
      <w:jc w:val="left"/>
    </w:pPr>
    <w:rPr>
      <w:sz w:val="18"/>
      <w:szCs w:val="18"/>
    </w:rPr>
  </w:style>
  <w:style w:type="paragraph" w:styleId="a9">
    <w:name w:val="header"/>
    <w:basedOn w:val="a"/>
    <w:semiHidden/>
    <w:qFormat/>
    <w:rsid w:val="00C93746"/>
    <w:pPr>
      <w:pBdr>
        <w:bottom w:val="single" w:sz="6" w:space="1" w:color="auto"/>
      </w:pBdr>
      <w:tabs>
        <w:tab w:val="center" w:pos="4153"/>
        <w:tab w:val="right" w:pos="8306"/>
      </w:tabs>
      <w:snapToGrid w:val="0"/>
      <w:jc w:val="center"/>
    </w:pPr>
    <w:rPr>
      <w:sz w:val="18"/>
    </w:rPr>
  </w:style>
  <w:style w:type="paragraph" w:styleId="aa">
    <w:name w:val="annotation subject"/>
    <w:basedOn w:val="a4"/>
    <w:next w:val="a4"/>
    <w:link w:val="Char2"/>
    <w:uiPriority w:val="99"/>
    <w:semiHidden/>
    <w:unhideWhenUsed/>
    <w:qFormat/>
    <w:rsid w:val="00C93746"/>
    <w:rPr>
      <w:b/>
      <w:bCs/>
    </w:rPr>
  </w:style>
  <w:style w:type="table" w:styleId="ab">
    <w:name w:val="Table Grid"/>
    <w:basedOn w:val="a1"/>
    <w:uiPriority w:val="59"/>
    <w:qFormat/>
    <w:rsid w:val="00C937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semiHidden/>
    <w:qFormat/>
    <w:rsid w:val="00C93746"/>
  </w:style>
  <w:style w:type="character" w:styleId="ad">
    <w:name w:val="annotation reference"/>
    <w:basedOn w:val="a0"/>
    <w:uiPriority w:val="99"/>
    <w:semiHidden/>
    <w:unhideWhenUsed/>
    <w:qFormat/>
    <w:rsid w:val="00C93746"/>
    <w:rPr>
      <w:sz w:val="21"/>
      <w:szCs w:val="21"/>
    </w:rPr>
  </w:style>
  <w:style w:type="paragraph" w:customStyle="1" w:styleId="ParaChar">
    <w:name w:val="默认段落字体 Para Char"/>
    <w:basedOn w:val="a"/>
    <w:qFormat/>
    <w:rsid w:val="00C93746"/>
  </w:style>
  <w:style w:type="paragraph" w:customStyle="1" w:styleId="CharCharCharChar">
    <w:name w:val="Char Char Char Char"/>
    <w:basedOn w:val="a"/>
    <w:next w:val="a"/>
    <w:qFormat/>
    <w:rsid w:val="00C93746"/>
    <w:pPr>
      <w:spacing w:line="360" w:lineRule="auto"/>
      <w:ind w:firstLineChars="200" w:firstLine="420"/>
    </w:pPr>
    <w:rPr>
      <w:rFonts w:eastAsia="仿宋_GB2312"/>
      <w:sz w:val="24"/>
    </w:rPr>
  </w:style>
  <w:style w:type="character" w:styleId="ae">
    <w:name w:val="Placeholder Text"/>
    <w:basedOn w:val="a0"/>
    <w:uiPriority w:val="99"/>
    <w:semiHidden/>
    <w:qFormat/>
    <w:rsid w:val="00C93746"/>
    <w:rPr>
      <w:color w:val="808080"/>
    </w:rPr>
  </w:style>
  <w:style w:type="character" w:customStyle="1" w:styleId="Char1">
    <w:name w:val="批注框文本 Char"/>
    <w:basedOn w:val="a0"/>
    <w:link w:val="a7"/>
    <w:uiPriority w:val="99"/>
    <w:semiHidden/>
    <w:qFormat/>
    <w:rsid w:val="00C93746"/>
    <w:rPr>
      <w:kern w:val="2"/>
      <w:sz w:val="18"/>
      <w:szCs w:val="18"/>
    </w:rPr>
  </w:style>
  <w:style w:type="character" w:customStyle="1" w:styleId="1">
    <w:name w:val="样式1"/>
    <w:basedOn w:val="a0"/>
    <w:uiPriority w:val="1"/>
    <w:qFormat/>
    <w:rsid w:val="00C93746"/>
    <w:rPr>
      <w:rFonts w:eastAsia="仿宋_GB2312"/>
      <w:sz w:val="32"/>
    </w:rPr>
  </w:style>
  <w:style w:type="character" w:customStyle="1" w:styleId="20">
    <w:name w:val="样式2"/>
    <w:basedOn w:val="a0"/>
    <w:uiPriority w:val="1"/>
    <w:qFormat/>
    <w:rsid w:val="00C93746"/>
    <w:rPr>
      <w:b/>
    </w:rPr>
  </w:style>
  <w:style w:type="character" w:customStyle="1" w:styleId="3">
    <w:name w:val="样式3"/>
    <w:basedOn w:val="a0"/>
    <w:uiPriority w:val="1"/>
    <w:qFormat/>
    <w:rsid w:val="00C93746"/>
    <w:rPr>
      <w:rFonts w:eastAsia="仿宋_GB2312"/>
      <w:b/>
    </w:rPr>
  </w:style>
  <w:style w:type="character" w:customStyle="1" w:styleId="4">
    <w:name w:val="样式4"/>
    <w:basedOn w:val="a0"/>
    <w:uiPriority w:val="1"/>
    <w:qFormat/>
    <w:rsid w:val="00C93746"/>
    <w:rPr>
      <w:rFonts w:eastAsia="仿宋_GB2312"/>
      <w:b/>
      <w:sz w:val="32"/>
    </w:rPr>
  </w:style>
  <w:style w:type="character" w:customStyle="1" w:styleId="2Char">
    <w:name w:val="标题 2 Char"/>
    <w:basedOn w:val="a0"/>
    <w:link w:val="2"/>
    <w:uiPriority w:val="9"/>
    <w:qFormat/>
    <w:rsid w:val="00C93746"/>
    <w:rPr>
      <w:rFonts w:ascii="Cambria" w:eastAsia="宋体" w:hAnsi="Cambria" w:cs="Times New Roman"/>
      <w:b/>
      <w:bCs/>
      <w:kern w:val="2"/>
      <w:sz w:val="32"/>
      <w:szCs w:val="32"/>
    </w:rPr>
  </w:style>
  <w:style w:type="character" w:customStyle="1" w:styleId="Char">
    <w:name w:val="批注文字 Char"/>
    <w:basedOn w:val="a0"/>
    <w:link w:val="a4"/>
    <w:uiPriority w:val="99"/>
    <w:semiHidden/>
    <w:qFormat/>
    <w:rsid w:val="00C93746"/>
    <w:rPr>
      <w:kern w:val="2"/>
      <w:sz w:val="28"/>
      <w:szCs w:val="24"/>
    </w:rPr>
  </w:style>
  <w:style w:type="character" w:customStyle="1" w:styleId="Char2">
    <w:name w:val="批注主题 Char"/>
    <w:basedOn w:val="Char"/>
    <w:link w:val="aa"/>
    <w:uiPriority w:val="99"/>
    <w:semiHidden/>
    <w:qFormat/>
    <w:rsid w:val="00C93746"/>
    <w:rPr>
      <w:b/>
      <w:bCs/>
      <w:kern w:val="2"/>
      <w:sz w:val="28"/>
      <w:szCs w:val="24"/>
    </w:rPr>
  </w:style>
  <w:style w:type="paragraph" w:customStyle="1" w:styleId="Default">
    <w:name w:val="Default"/>
    <w:qFormat/>
    <w:rsid w:val="00C93746"/>
    <w:pPr>
      <w:widowControl w:val="0"/>
      <w:autoSpaceDE w:val="0"/>
      <w:autoSpaceDN w:val="0"/>
      <w:adjustRightInd w:val="0"/>
    </w:pPr>
    <w:rPr>
      <w:rFonts w:ascii="仿宋_GB2312" w:eastAsia="仿宋_GB2312" w:hAnsi="Calibri" w:cs="仿宋_GB2312"/>
      <w:color w:val="000000"/>
      <w:sz w:val="24"/>
      <w:szCs w:val="24"/>
    </w:rPr>
  </w:style>
  <w:style w:type="character" w:customStyle="1" w:styleId="Char0">
    <w:name w:val="正文文本缩进 Char"/>
    <w:basedOn w:val="a0"/>
    <w:link w:val="a5"/>
    <w:qFormat/>
    <w:rsid w:val="00C93746"/>
    <w:rPr>
      <w:rFonts w:ascii="Calibri" w:eastAsia="仿宋_GB2312" w:hAnsi="Calibri"/>
      <w:kern w:val="2"/>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58681A-2B6E-4887-B603-04B237ACA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117</Words>
  <Characters>667</Characters>
  <Application>Microsoft Office Word</Application>
  <DocSecurity>0</DocSecurity>
  <Lines>5</Lines>
  <Paragraphs>1</Paragraphs>
  <ScaleCrop>false</ScaleCrop>
  <Company>Microsoft</Company>
  <LinksUpToDate>false</LinksUpToDate>
  <CharactersWithSpaces>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西北项目办</dc:creator>
  <cp:lastModifiedBy>栗亚芝</cp:lastModifiedBy>
  <cp:revision>31</cp:revision>
  <cp:lastPrinted>2018-11-08T00:42:00Z</cp:lastPrinted>
  <dcterms:created xsi:type="dcterms:W3CDTF">2018-04-23T07:41:00Z</dcterms:created>
  <dcterms:modified xsi:type="dcterms:W3CDTF">2021-04-20T09:49:00Z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4A92B16D00C04DACBF5B7C92431F8560</vt:lpwstr>
  </property>
</Properties>
</file>